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8D" w:rsidRPr="00683DA4" w:rsidRDefault="0094028D" w:rsidP="0094028D">
      <w:pPr>
        <w:spacing w:before="100" w:beforeAutospacing="1" w:after="100" w:afterAutospacing="1"/>
        <w:ind w:left="0" w:firstLine="0"/>
        <w:jc w:val="center"/>
        <w:rPr>
          <w:rFonts w:asciiTheme="majorHAnsi" w:eastAsia="Times New Roman" w:hAnsiTheme="majorHAnsi" w:cs="Calibri"/>
          <w:b/>
          <w:color w:val="000000" w:themeColor="text1"/>
          <w:sz w:val="44"/>
          <w:szCs w:val="44"/>
          <w:lang w:val="es-MX" w:eastAsia="en-CA"/>
        </w:rPr>
      </w:pPr>
      <w:r w:rsidRPr="00683DA4">
        <w:rPr>
          <w:rFonts w:asciiTheme="majorHAnsi" w:eastAsia="Times New Roman" w:hAnsiTheme="majorHAnsi" w:cs="Calibri"/>
          <w:b/>
          <w:color w:val="000000" w:themeColor="text1"/>
          <w:sz w:val="44"/>
          <w:szCs w:val="44"/>
          <w:lang w:val="es-MX" w:eastAsia="en-CA"/>
        </w:rPr>
        <w:t>TRANSPARENCIA</w:t>
      </w:r>
    </w:p>
    <w:p w:rsidR="0094028D" w:rsidRPr="00683DA4" w:rsidRDefault="0094028D" w:rsidP="00683DA4">
      <w:pPr>
        <w:spacing w:before="100" w:beforeAutospacing="1" w:after="100" w:afterAutospacing="1"/>
        <w:ind w:left="0" w:firstLine="0"/>
        <w:jc w:val="center"/>
        <w:rPr>
          <w:rFonts w:asciiTheme="majorHAnsi" w:eastAsia="Times New Roman" w:hAnsiTheme="majorHAnsi" w:cs="Calibri"/>
          <w:b/>
          <w:color w:val="000000" w:themeColor="text1"/>
          <w:sz w:val="36"/>
          <w:szCs w:val="36"/>
          <w:lang w:val="es-MX" w:eastAsia="en-CA"/>
        </w:rPr>
      </w:pPr>
      <w:r w:rsidRPr="00683DA4">
        <w:rPr>
          <w:rFonts w:asciiTheme="majorHAnsi" w:eastAsia="Times New Roman" w:hAnsiTheme="majorHAnsi" w:cs="Calibri"/>
          <w:b/>
          <w:color w:val="000000" w:themeColor="text1"/>
          <w:sz w:val="36"/>
          <w:szCs w:val="36"/>
          <w:lang w:val="es-MX" w:eastAsia="en-CA"/>
        </w:rPr>
        <w:t>SECRETARIA DE SEGURIDAD PÚBLICA Y TRÁNSITO</w:t>
      </w:r>
    </w:p>
    <w:p w:rsidR="0094028D" w:rsidRPr="00683DA4" w:rsidRDefault="0094028D" w:rsidP="00683DA4">
      <w:pPr>
        <w:spacing w:before="100" w:beforeAutospacing="1" w:after="100" w:afterAutospacing="1"/>
        <w:ind w:left="0" w:firstLine="0"/>
        <w:rPr>
          <w:rFonts w:asciiTheme="majorHAnsi" w:eastAsia="Times New Roman" w:hAnsiTheme="majorHAnsi" w:cs="Calibri"/>
          <w:b/>
          <w:color w:val="000000" w:themeColor="text1"/>
          <w:sz w:val="24"/>
          <w:szCs w:val="24"/>
          <w:lang w:val="es-MX" w:eastAsia="en-CA"/>
        </w:rPr>
      </w:pPr>
      <w:r w:rsidRPr="00683DA4">
        <w:rPr>
          <w:rFonts w:asciiTheme="majorHAnsi" w:eastAsia="Times New Roman" w:hAnsiTheme="majorHAnsi" w:cs="Calibri"/>
          <w:b/>
          <w:color w:val="000000" w:themeColor="text1"/>
          <w:sz w:val="24"/>
          <w:szCs w:val="24"/>
          <w:lang w:val="es-MX" w:eastAsia="en-CA"/>
        </w:rPr>
        <w:t>ARTICULO 10</w:t>
      </w:r>
    </w:p>
    <w:p w:rsidR="0094028D" w:rsidRPr="00683DA4" w:rsidRDefault="0094028D" w:rsidP="00683DA4">
      <w:pPr>
        <w:framePr w:hSpace="180" w:wrap="around" w:vAnchor="text" w:hAnchor="page" w:x="1034" w:y="-424"/>
        <w:ind w:left="0" w:firstLine="0"/>
        <w:jc w:val="center"/>
        <w:rPr>
          <w:rFonts w:asciiTheme="majorHAnsi" w:eastAsia="Times New Roman" w:hAnsiTheme="majorHAnsi" w:cs="Calibri"/>
          <w:bCs/>
          <w:color w:val="000000" w:themeColor="text1"/>
          <w:sz w:val="24"/>
          <w:szCs w:val="24"/>
          <w:lang w:val="es-MX" w:eastAsia="en-CA"/>
        </w:rPr>
      </w:pPr>
    </w:p>
    <w:p w:rsidR="0094028D" w:rsidRPr="00683DA4" w:rsidRDefault="0094028D" w:rsidP="00683DA4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asciiTheme="majorHAnsi" w:eastAsia="Times New Roman" w:hAnsiTheme="majorHAnsi" w:cs="Calibri"/>
          <w:bCs/>
          <w:color w:val="000000" w:themeColor="text1"/>
          <w:sz w:val="24"/>
          <w:szCs w:val="24"/>
          <w:lang w:val="es-MX" w:eastAsia="en-CA"/>
        </w:rPr>
      </w:pPr>
    </w:p>
    <w:tbl>
      <w:tblPr>
        <w:tblW w:w="8737" w:type="dxa"/>
        <w:tblInd w:w="89" w:type="dxa"/>
        <w:tblLook w:val="04A0"/>
      </w:tblPr>
      <w:tblGrid>
        <w:gridCol w:w="8737"/>
      </w:tblGrid>
      <w:tr w:rsidR="0094028D" w:rsidRPr="00683DA4" w:rsidTr="00A93C5A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8D" w:rsidRPr="00683DA4" w:rsidRDefault="0094028D" w:rsidP="00683DA4">
            <w:pPr>
              <w:ind w:left="0" w:firstLine="0"/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24"/>
                <w:szCs w:val="24"/>
                <w:u w:val="single"/>
                <w:lang w:val="es-MX" w:eastAsia="en-CA"/>
              </w:rPr>
            </w:pPr>
            <w:r w:rsidRPr="00683DA4">
              <w:rPr>
                <w:rFonts w:asciiTheme="majorHAnsi" w:eastAsia="Times New Roman" w:hAnsiTheme="majorHAnsi" w:cs="Calibri"/>
                <w:b/>
                <w:bCs/>
                <w:color w:val="000000" w:themeColor="text1"/>
                <w:sz w:val="24"/>
                <w:szCs w:val="24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94028D" w:rsidRPr="00683DA4" w:rsidRDefault="0094028D" w:rsidP="00683DA4">
      <w:pPr>
        <w:ind w:left="0" w:firstLine="0"/>
        <w:rPr>
          <w:rFonts w:asciiTheme="majorHAnsi" w:hAnsiTheme="majorHAnsi"/>
          <w:color w:val="000000" w:themeColor="text1"/>
          <w:sz w:val="24"/>
          <w:szCs w:val="24"/>
        </w:rPr>
      </w:pPr>
    </w:p>
    <w:p w:rsidR="0094028D" w:rsidRPr="00683DA4" w:rsidRDefault="0094028D" w:rsidP="00683DA4">
      <w:pPr>
        <w:ind w:left="0" w:firstLine="0"/>
        <w:rPr>
          <w:rFonts w:asciiTheme="majorHAnsi" w:hAnsiTheme="majorHAnsi"/>
          <w:color w:val="000000" w:themeColor="text1"/>
          <w:sz w:val="24"/>
          <w:szCs w:val="24"/>
        </w:rPr>
      </w:pPr>
    </w:p>
    <w:p w:rsidR="0094028D" w:rsidRPr="00683DA4" w:rsidRDefault="0094028D" w:rsidP="00683DA4">
      <w:pPr>
        <w:ind w:left="0" w:firstLine="0"/>
        <w:jc w:val="left"/>
        <w:rPr>
          <w:rFonts w:asciiTheme="majorHAnsi" w:hAnsiTheme="majorHAnsi"/>
          <w:color w:val="000000" w:themeColor="text1"/>
          <w:sz w:val="24"/>
          <w:szCs w:val="24"/>
        </w:rPr>
      </w:pPr>
      <w:r w:rsidRPr="00683DA4">
        <w:rPr>
          <w:rFonts w:asciiTheme="majorHAnsi" w:hAnsiTheme="majorHAnsi"/>
          <w:color w:val="000000" w:themeColor="text1"/>
          <w:sz w:val="24"/>
          <w:szCs w:val="24"/>
        </w:rPr>
        <w:t>Durante el mes de Agosto de 2012 no se expidieron permisos para circular sin placas.</w:t>
      </w: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</w:pP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  <w:lastRenderedPageBreak/>
        <w:t>ARTICULO</w:t>
      </w:r>
      <w:r w:rsidRPr="00683DA4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val="es-MX" w:eastAsia="en-CA"/>
        </w:rPr>
        <w:t xml:space="preserve"> 14</w:t>
      </w:r>
    </w:p>
    <w:p w:rsidR="00683DA4" w:rsidRPr="00683DA4" w:rsidRDefault="00A2125F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</w:pPr>
      <w:hyperlink r:id="rId4" w:history="1">
        <w:r w:rsidR="00683DA4" w:rsidRPr="00683DA4">
          <w:rPr>
            <w:rStyle w:val="Hipervnculo"/>
            <w:rFonts w:asciiTheme="majorHAnsi" w:eastAsia="Times New Roman" w:hAnsiTheme="majorHAnsi" w:cs="Arial"/>
            <w:color w:val="000000" w:themeColor="text1"/>
            <w:sz w:val="24"/>
            <w:szCs w:val="24"/>
            <w:lang w:val="es-MX" w:eastAsia="en-CA"/>
          </w:rPr>
          <w:t>I.- Los indicadores de gestión de los servicios públicos que presten los ayuntamientos</w:t>
        </w:r>
      </w:hyperlink>
      <w:r w:rsidR="00683DA4" w:rsidRPr="00683DA4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  <w:t xml:space="preserve">; </w:t>
      </w: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</w:pPr>
      <w:r w:rsidRPr="00683DA4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  <w:t>No se cuenta con indicadores de gestión</w:t>
      </w: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</w:pPr>
    </w:p>
    <w:p w:rsidR="00683DA4" w:rsidRPr="00683DA4" w:rsidRDefault="00A2125F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</w:pPr>
      <w:hyperlink r:id="rId5" w:history="1">
        <w:r w:rsidR="00683DA4" w:rsidRPr="00683DA4">
          <w:rPr>
            <w:rStyle w:val="Hipervnculo"/>
            <w:rFonts w:asciiTheme="majorHAnsi" w:eastAsia="Times New Roman" w:hAnsiTheme="majorHAnsi" w:cs="Arial"/>
            <w:color w:val="000000" w:themeColor="text1"/>
            <w:sz w:val="24"/>
            <w:szCs w:val="24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="00683DA4" w:rsidRPr="00683DA4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 w:eastAsia="en-CA"/>
        </w:rPr>
        <w:t xml:space="preserve">; </w:t>
      </w: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3"/>
          <w:szCs w:val="23"/>
          <w:lang w:val="es-MX" w:eastAsia="en-CA"/>
        </w:rPr>
      </w:pP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3"/>
          <w:szCs w:val="23"/>
          <w:lang w:val="es-MX" w:eastAsia="en-CA"/>
        </w:rPr>
      </w:pPr>
      <w:r w:rsidRPr="00683DA4">
        <w:rPr>
          <w:rFonts w:asciiTheme="majorHAnsi" w:eastAsia="Times New Roman" w:hAnsiTheme="majorHAnsi" w:cs="Arial"/>
          <w:noProof/>
          <w:color w:val="000000" w:themeColor="text1"/>
          <w:sz w:val="23"/>
          <w:szCs w:val="23"/>
          <w:lang w:val="es-MX" w:eastAsia="es-MX" w:bidi="ug-CN"/>
        </w:rPr>
        <w:drawing>
          <wp:inline distT="0" distB="0" distL="0" distR="0">
            <wp:extent cx="5612130" cy="4218305"/>
            <wp:effectExtent l="19050" t="0" r="2667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3"/>
          <w:szCs w:val="23"/>
          <w:lang w:val="es-MX" w:eastAsia="en-CA"/>
        </w:rPr>
      </w:pP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3"/>
          <w:szCs w:val="23"/>
          <w:lang w:val="es-MX" w:eastAsia="en-CA"/>
        </w:rPr>
      </w:pPr>
      <w:r w:rsidRPr="00683DA4">
        <w:rPr>
          <w:rFonts w:asciiTheme="majorHAnsi" w:eastAsia="Times New Roman" w:hAnsiTheme="majorHAnsi" w:cs="Arial"/>
          <w:color w:val="000000" w:themeColor="text1"/>
          <w:sz w:val="23"/>
          <w:szCs w:val="23"/>
          <w:lang w:val="es-MX" w:eastAsia="en-CA"/>
        </w:rPr>
        <w:t xml:space="preserve">                                  </w:t>
      </w:r>
    </w:p>
    <w:p w:rsidR="00683DA4" w:rsidRPr="00683DA4" w:rsidRDefault="00683DA4" w:rsidP="00683DA4">
      <w:pPr>
        <w:shd w:val="clear" w:color="auto" w:fill="FFFFFF"/>
        <w:spacing w:before="63" w:after="125" w:line="360" w:lineRule="atLeast"/>
        <w:ind w:left="0" w:firstLine="0"/>
        <w:jc w:val="left"/>
        <w:rPr>
          <w:rFonts w:asciiTheme="majorHAnsi" w:eastAsia="Times New Roman" w:hAnsiTheme="majorHAnsi" w:cs="Arial"/>
          <w:color w:val="000000" w:themeColor="text1"/>
          <w:sz w:val="23"/>
          <w:szCs w:val="23"/>
          <w:lang w:val="es-MX" w:eastAsia="en-CA"/>
        </w:rPr>
      </w:pPr>
      <w:r w:rsidRPr="00683DA4">
        <w:rPr>
          <w:rFonts w:asciiTheme="majorHAnsi" w:eastAsia="Times New Roman" w:hAnsiTheme="majorHAnsi" w:cs="Arial"/>
          <w:color w:val="000000" w:themeColor="text1"/>
          <w:sz w:val="23"/>
          <w:szCs w:val="23"/>
          <w:lang w:val="es-MX" w:eastAsia="en-CA"/>
        </w:rPr>
        <w:t xml:space="preserve">                      </w:t>
      </w:r>
    </w:p>
    <w:p w:rsidR="00683DA4" w:rsidRPr="00683DA4" w:rsidRDefault="00683DA4" w:rsidP="00683DA4">
      <w:pPr>
        <w:ind w:left="0" w:firstLine="0"/>
        <w:rPr>
          <w:rFonts w:asciiTheme="majorHAnsi" w:hAnsiTheme="majorHAnsi"/>
          <w:color w:val="000000" w:themeColor="text1"/>
          <w:sz w:val="18"/>
          <w:szCs w:val="18"/>
          <w:u w:val="single"/>
          <w:lang w:val="es-MX"/>
        </w:rPr>
      </w:pPr>
    </w:p>
    <w:p w:rsidR="00683DA4" w:rsidRPr="00683DA4" w:rsidRDefault="00683DA4" w:rsidP="00683DA4">
      <w:pPr>
        <w:tabs>
          <w:tab w:val="left" w:pos="2020"/>
        </w:tabs>
        <w:rPr>
          <w:rFonts w:asciiTheme="majorHAnsi" w:hAnsiTheme="majorHAnsi"/>
          <w:color w:val="000000" w:themeColor="text1"/>
          <w:sz w:val="18"/>
          <w:szCs w:val="18"/>
        </w:rPr>
      </w:pPr>
    </w:p>
    <w:p w:rsidR="00683DA4" w:rsidRPr="00683DA4" w:rsidRDefault="00683DA4" w:rsidP="00683DA4">
      <w:pPr>
        <w:tabs>
          <w:tab w:val="left" w:pos="2020"/>
        </w:tabs>
        <w:rPr>
          <w:rFonts w:asciiTheme="majorHAnsi" w:hAnsiTheme="majorHAnsi"/>
          <w:color w:val="000000" w:themeColor="text1"/>
          <w:sz w:val="18"/>
          <w:szCs w:val="18"/>
          <w:lang w:val="es-MX"/>
        </w:rPr>
      </w:pPr>
      <w:r w:rsidRPr="00683DA4">
        <w:rPr>
          <w:rFonts w:asciiTheme="majorHAnsi" w:hAnsiTheme="majorHAnsi"/>
          <w:color w:val="000000" w:themeColor="text1"/>
          <w:sz w:val="18"/>
          <w:szCs w:val="18"/>
          <w:lang w:val="es-MX"/>
        </w:rPr>
        <w:tab/>
      </w:r>
      <w:r w:rsidRPr="00683DA4">
        <w:rPr>
          <w:rFonts w:asciiTheme="majorHAnsi" w:hAnsiTheme="majorHAnsi"/>
          <w:color w:val="000000" w:themeColor="text1"/>
          <w:sz w:val="18"/>
          <w:szCs w:val="18"/>
          <w:lang w:val="es-MX"/>
        </w:rPr>
        <w:tab/>
        <w:t xml:space="preserve">    </w:t>
      </w:r>
    </w:p>
    <w:p w:rsidR="00683DA4" w:rsidRPr="00683DA4" w:rsidRDefault="00683DA4" w:rsidP="00683DA4">
      <w:pPr>
        <w:rPr>
          <w:rFonts w:asciiTheme="majorHAnsi" w:hAnsiTheme="majorHAnsi"/>
          <w:color w:val="000000" w:themeColor="text1"/>
        </w:rPr>
      </w:pPr>
      <w:r w:rsidRPr="00683DA4">
        <w:rPr>
          <w:rFonts w:asciiTheme="majorHAnsi" w:hAnsiTheme="majorHAnsi"/>
          <w:color w:val="000000" w:themeColor="text1"/>
        </w:rPr>
        <w:t xml:space="preserve">     </w:t>
      </w:r>
    </w:p>
    <w:p w:rsidR="00683DA4" w:rsidRPr="00683DA4" w:rsidRDefault="00683DA4" w:rsidP="00683DA4">
      <w:pPr>
        <w:rPr>
          <w:rFonts w:asciiTheme="majorHAnsi" w:hAnsiTheme="majorHAnsi"/>
          <w:color w:val="000000" w:themeColor="text1"/>
        </w:rPr>
      </w:pPr>
    </w:p>
    <w:p w:rsidR="00683DA4" w:rsidRPr="00683DA4" w:rsidRDefault="00683DA4" w:rsidP="00683DA4">
      <w:pPr>
        <w:rPr>
          <w:rFonts w:asciiTheme="majorHAnsi" w:hAnsiTheme="majorHAnsi"/>
          <w:color w:val="000000" w:themeColor="text1"/>
        </w:rPr>
      </w:pPr>
      <w:r w:rsidRPr="00683DA4">
        <w:rPr>
          <w:rFonts w:asciiTheme="majorHAnsi" w:hAnsiTheme="majorHAnsi"/>
          <w:noProof/>
          <w:color w:val="000000" w:themeColor="text1"/>
          <w:lang w:val="es-MX" w:eastAsia="es-MX" w:bidi="ug-CN"/>
        </w:rPr>
        <w:lastRenderedPageBreak/>
        <w:drawing>
          <wp:inline distT="0" distB="0" distL="0" distR="0">
            <wp:extent cx="2600325" cy="3629025"/>
            <wp:effectExtent l="1905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683DA4">
        <w:rPr>
          <w:rFonts w:asciiTheme="majorHAnsi" w:hAnsiTheme="majorHAnsi"/>
          <w:color w:val="000000" w:themeColor="text1"/>
        </w:rPr>
        <w:t xml:space="preserve">   </w:t>
      </w:r>
      <w:r w:rsidRPr="00683DA4">
        <w:rPr>
          <w:rFonts w:asciiTheme="majorHAnsi" w:hAnsiTheme="majorHAnsi"/>
          <w:noProof/>
          <w:color w:val="000000" w:themeColor="text1"/>
          <w:lang w:val="es-MX" w:eastAsia="es-MX" w:bidi="ug-CN"/>
        </w:rPr>
        <w:drawing>
          <wp:inline distT="0" distB="0" distL="0" distR="0">
            <wp:extent cx="2476500" cy="3629025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83DA4">
        <w:rPr>
          <w:rFonts w:asciiTheme="majorHAnsi" w:hAnsiTheme="majorHAnsi"/>
          <w:noProof/>
          <w:color w:val="000000" w:themeColor="text1"/>
          <w:lang w:val="es-MX" w:eastAsia="es-MX"/>
        </w:rPr>
        <w:t xml:space="preserve"> </w:t>
      </w:r>
    </w:p>
    <w:p w:rsidR="00683DA4" w:rsidRPr="00683DA4" w:rsidRDefault="00683DA4" w:rsidP="00683DA4">
      <w:pPr>
        <w:rPr>
          <w:rFonts w:asciiTheme="majorHAnsi" w:hAnsiTheme="majorHAnsi"/>
          <w:color w:val="000000" w:themeColor="text1"/>
        </w:rPr>
      </w:pPr>
    </w:p>
    <w:p w:rsidR="00683DA4" w:rsidRPr="00683DA4" w:rsidRDefault="00683DA4" w:rsidP="00683DA4">
      <w:pPr>
        <w:rPr>
          <w:rFonts w:asciiTheme="majorHAnsi" w:hAnsiTheme="majorHAnsi"/>
          <w:color w:val="000000" w:themeColor="text1"/>
        </w:rPr>
      </w:pPr>
    </w:p>
    <w:p w:rsidR="00683DA4" w:rsidRPr="00683DA4" w:rsidRDefault="00683DA4" w:rsidP="00683DA4">
      <w:pPr>
        <w:rPr>
          <w:rFonts w:asciiTheme="majorHAnsi" w:hAnsiTheme="majorHAnsi"/>
          <w:noProof/>
          <w:color w:val="000000" w:themeColor="text1"/>
          <w:lang w:val="es-MX" w:eastAsia="es-MX"/>
        </w:rPr>
      </w:pPr>
    </w:p>
    <w:p w:rsidR="00683DA4" w:rsidRPr="00683DA4" w:rsidRDefault="00683DA4" w:rsidP="00683DA4">
      <w:pPr>
        <w:rPr>
          <w:rFonts w:asciiTheme="majorHAnsi" w:hAnsiTheme="majorHAnsi"/>
          <w:color w:val="000000" w:themeColor="text1"/>
        </w:rPr>
      </w:pPr>
      <w:r w:rsidRPr="00683DA4">
        <w:rPr>
          <w:rFonts w:asciiTheme="majorHAnsi" w:hAnsiTheme="majorHAnsi"/>
          <w:noProof/>
          <w:color w:val="000000" w:themeColor="text1"/>
          <w:lang w:val="es-MX" w:eastAsia="es-MX" w:bidi="ug-CN"/>
        </w:rPr>
        <w:drawing>
          <wp:inline distT="0" distB="0" distL="0" distR="0">
            <wp:extent cx="4191000" cy="363855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3DA4" w:rsidRPr="00683DA4" w:rsidRDefault="00683DA4" w:rsidP="00683DA4">
      <w:pPr>
        <w:rPr>
          <w:rFonts w:asciiTheme="majorHAnsi" w:hAnsiTheme="majorHAnsi"/>
          <w:color w:val="000000" w:themeColor="text1"/>
        </w:rPr>
      </w:pPr>
    </w:p>
    <w:p w:rsidR="00F93430" w:rsidRPr="00683DA4" w:rsidRDefault="00F93430" w:rsidP="00683DA4">
      <w:pPr>
        <w:rPr>
          <w:rFonts w:asciiTheme="majorHAnsi" w:hAnsiTheme="majorHAnsi"/>
          <w:color w:val="000000" w:themeColor="text1"/>
        </w:rPr>
      </w:pPr>
    </w:p>
    <w:sectPr w:rsidR="00F93430" w:rsidRPr="00683DA4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28D"/>
    <w:rsid w:val="004951E5"/>
    <w:rsid w:val="005C1A29"/>
    <w:rsid w:val="00683DA4"/>
    <w:rsid w:val="0094028D"/>
    <w:rsid w:val="00A2125F"/>
    <w:rsid w:val="00B70AB1"/>
    <w:rsid w:val="00D16973"/>
    <w:rsid w:val="00F9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8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3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3D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DA4"/>
    <w:rPr>
      <w:rFonts w:ascii="Tahoma" w:eastAsia="Calibri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83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dka\Desktop\BASE%20DE%20DATOS%20TRANSPARENCI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dka\Desktop\BASE%20DE%20DATOS%20TRANSPARENCI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dka\Desktop\BASE%20DE%20DATOS%20TRANSPARENCI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dka\Desktop\BASE%20DE%20DATOS%20TRANSPARENC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1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es-MX"/>
              </a:p>
            </c:txPr>
            <c:showVal val="1"/>
          </c:dLbls>
          <c:cat>
            <c:strRef>
              <c:f>DETENIDOS!$A$1:$A$5</c:f>
              <c:strCache>
                <c:ptCount val="5"/>
                <c:pt idx="0">
                  <c:v>MENORES (F)</c:v>
                </c:pt>
                <c:pt idx="1">
                  <c:v>MENORES (M)</c:v>
                </c:pt>
                <c:pt idx="2">
                  <c:v>MAYORES (F)</c:v>
                </c:pt>
                <c:pt idx="3">
                  <c:v>MAYORES (M)</c:v>
                </c:pt>
                <c:pt idx="4">
                  <c:v>TOTAL DE DETENIDOS</c:v>
                </c:pt>
              </c:strCache>
            </c:strRef>
          </c:cat>
          <c:val>
            <c:numRef>
              <c:f>DETENIDOS!$B$1:$B$5</c:f>
              <c:numCache>
                <c:formatCode>General</c:formatCode>
                <c:ptCount val="5"/>
                <c:pt idx="0">
                  <c:v>91</c:v>
                </c:pt>
                <c:pt idx="1">
                  <c:v>10</c:v>
                </c:pt>
                <c:pt idx="2">
                  <c:v>31</c:v>
                </c:pt>
                <c:pt idx="3">
                  <c:v>436</c:v>
                </c:pt>
                <c:pt idx="4">
                  <c:v>568</c:v>
                </c:pt>
              </c:numCache>
            </c:numRef>
          </c:val>
        </c:ser>
        <c:dLbls>
          <c:showVal val="1"/>
        </c:dLbls>
        <c:gapWidth val="75"/>
        <c:shape val="cylinder"/>
        <c:axId val="79962112"/>
        <c:axId val="79963648"/>
        <c:axId val="0"/>
      </c:bar3DChart>
      <c:catAx>
        <c:axId val="79962112"/>
        <c:scaling>
          <c:orientation val="minMax"/>
        </c:scaling>
        <c:axPos val="b"/>
        <c:majorTickMark val="none"/>
        <c:tickLblPos val="nextTo"/>
        <c:crossAx val="79963648"/>
        <c:crosses val="autoZero"/>
        <c:auto val="1"/>
        <c:lblAlgn val="ctr"/>
        <c:lblOffset val="100"/>
      </c:catAx>
      <c:valAx>
        <c:axId val="799636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9962112"/>
        <c:crosses val="autoZero"/>
        <c:crossBetween val="between"/>
      </c:valAx>
    </c:plotArea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2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LICENCIAS!$A$1</c:f>
              <c:strCache>
                <c:ptCount val="1"/>
                <c:pt idx="0">
                  <c:v>LICENCIAS</c:v>
                </c:pt>
              </c:strCache>
            </c:strRef>
          </c:tx>
          <c:dLbls>
            <c:dLbl>
              <c:idx val="0"/>
              <c:layout>
                <c:manualLayout>
                  <c:x val="4.8840048840048889E-2"/>
                  <c:y val="0.2834645669291341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es-MX"/>
              </a:p>
            </c:txPr>
            <c:showVal val="1"/>
          </c:dLbls>
          <c:val>
            <c:numRef>
              <c:f>LICENCIAS!$B$1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dLbls>
          <c:showVal val="1"/>
        </c:dLbls>
        <c:shape val="cylinder"/>
        <c:axId val="43262720"/>
        <c:axId val="43264256"/>
        <c:axId val="0"/>
      </c:bar3DChart>
      <c:catAx>
        <c:axId val="43262720"/>
        <c:scaling>
          <c:orientation val="minMax"/>
        </c:scaling>
        <c:delete val="1"/>
        <c:axPos val="b"/>
        <c:majorTickMark val="none"/>
        <c:tickLblPos val="none"/>
        <c:crossAx val="43264256"/>
        <c:crosses val="autoZero"/>
        <c:auto val="1"/>
        <c:lblAlgn val="ctr"/>
        <c:lblOffset val="100"/>
      </c:catAx>
      <c:valAx>
        <c:axId val="432642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3262720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22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MULTAS!$A$1</c:f>
              <c:strCache>
                <c:ptCount val="1"/>
                <c:pt idx="0">
                  <c:v>MULTAS </c:v>
                </c:pt>
              </c:strCache>
            </c:strRef>
          </c:tx>
          <c:dLbls>
            <c:dLbl>
              <c:idx val="0"/>
              <c:layout>
                <c:manualLayout>
                  <c:x val="3.0769230769230792E-2"/>
                  <c:y val="0.17847769028871388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es-MX"/>
                </a:p>
              </c:txPr>
              <c:showVal val="1"/>
            </c:dLbl>
            <c:showVal val="1"/>
          </c:dLbls>
          <c:val>
            <c:numRef>
              <c:f>MULTAS!$B$1</c:f>
              <c:numCache>
                <c:formatCode>General</c:formatCode>
                <c:ptCount val="1"/>
                <c:pt idx="0">
                  <c:v>617</c:v>
                </c:pt>
              </c:numCache>
            </c:numRef>
          </c:val>
        </c:ser>
        <c:dLbls>
          <c:showVal val="1"/>
        </c:dLbls>
        <c:shape val="cylinder"/>
        <c:axId val="43285120"/>
        <c:axId val="79679872"/>
        <c:axId val="0"/>
      </c:bar3DChart>
      <c:catAx>
        <c:axId val="43285120"/>
        <c:scaling>
          <c:orientation val="minMax"/>
        </c:scaling>
        <c:delete val="1"/>
        <c:axPos val="b"/>
        <c:majorTickMark val="none"/>
        <c:tickLblPos val="none"/>
        <c:crossAx val="79679872"/>
        <c:crosses val="autoZero"/>
        <c:auto val="1"/>
        <c:lblAlgn val="ctr"/>
        <c:lblOffset val="100"/>
      </c:catAx>
      <c:valAx>
        <c:axId val="796798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3285120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0"/>
  <c:chart>
    <c:title>
      <c:tx>
        <c:rich>
          <a:bodyPr/>
          <a:lstStyle/>
          <a:p>
            <a:pPr>
              <a:defRPr/>
            </a:pPr>
            <a:r>
              <a:rPr lang="en-US"/>
              <a:t>ACCIDENTES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/>
                </a:pPr>
                <a:endParaRPr lang="es-MX"/>
              </a:p>
            </c:txPr>
            <c:showVal val="1"/>
          </c:dLbls>
          <c:cat>
            <c:strRef>
              <c:f>ACCIDENTES!$A$1:$A$3</c:f>
              <c:strCache>
                <c:ptCount val="3"/>
                <c:pt idx="0">
                  <c:v>CON LESIONADOS</c:v>
                </c:pt>
                <c:pt idx="1">
                  <c:v>SIN LESIONADOS</c:v>
                </c:pt>
                <c:pt idx="2">
                  <c:v>TOTAL DE ACCIDENTES</c:v>
                </c:pt>
              </c:strCache>
            </c:strRef>
          </c:cat>
          <c:val>
            <c:numRef>
              <c:f>ACCIDENTES!$B$1:$B$3</c:f>
              <c:numCache>
                <c:formatCode>General</c:formatCode>
                <c:ptCount val="3"/>
                <c:pt idx="0">
                  <c:v>24</c:v>
                </c:pt>
                <c:pt idx="1">
                  <c:v>33</c:v>
                </c:pt>
                <c:pt idx="2">
                  <c:v>57</c:v>
                </c:pt>
              </c:numCache>
            </c:numRef>
          </c:val>
        </c:ser>
        <c:dLbls>
          <c:showVal val="1"/>
        </c:dLbls>
        <c:shape val="cylinder"/>
        <c:axId val="42668416"/>
        <c:axId val="42669952"/>
        <c:axId val="0"/>
      </c:bar3DChart>
      <c:catAx>
        <c:axId val="42668416"/>
        <c:scaling>
          <c:orientation val="minMax"/>
        </c:scaling>
        <c:axPos val="b"/>
        <c:majorTickMark val="none"/>
        <c:tickLblPos val="nextTo"/>
        <c:crossAx val="42669952"/>
        <c:crosses val="autoZero"/>
        <c:auto val="1"/>
        <c:lblAlgn val="ctr"/>
        <c:lblOffset val="100"/>
      </c:catAx>
      <c:valAx>
        <c:axId val="42669952"/>
        <c:scaling>
          <c:orientation val="minMax"/>
        </c:scaling>
        <c:delete val="1"/>
        <c:axPos val="l"/>
        <c:numFmt formatCode="General" sourceLinked="1"/>
        <c:tickLblPos val="none"/>
        <c:crossAx val="42668416"/>
        <c:crosses val="autoZero"/>
        <c:crossBetween val="between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0.1205</cdr:x>
      <cdr:y>0.20602</cdr:y>
    </cdr:from>
    <cdr:to>
      <cdr:x>0.29317</cdr:x>
      <cdr:y>0.42824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638175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0.3263</cdr:x>
      <cdr:y>0.02376</cdr:y>
    </cdr:from>
    <cdr:to>
      <cdr:x>0.59416</cdr:x>
      <cdr:y>0.12311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914524" y="104776"/>
          <a:ext cx="157162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2000" b="1"/>
            <a:t>DETENIDOS</a:t>
          </a:r>
        </a:p>
      </cdr:txBody>
    </cdr:sp>
  </cdr:relSizeAnchor>
  <cdr:relSizeAnchor xmlns:cdr="http://schemas.openxmlformats.org/drawingml/2006/chartDrawing">
    <cdr:from>
      <cdr:x>0.16721</cdr:x>
      <cdr:y>0.33477</cdr:y>
    </cdr:from>
    <cdr:to>
      <cdr:x>0.32305</cdr:x>
      <cdr:y>0.54212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981075" y="14763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0.04545</cdr:x>
      <cdr:y>0.2095</cdr:y>
    </cdr:from>
    <cdr:to>
      <cdr:x>0.2776</cdr:x>
      <cdr:y>0.3067</cdr:y>
    </cdr:to>
    <cdr:sp macro="" textlink="">
      <cdr:nvSpPr>
        <cdr:cNvPr id="5" name="4 CuadroTexto"/>
        <cdr:cNvSpPr txBox="1"/>
      </cdr:nvSpPr>
      <cdr:spPr>
        <a:xfrm xmlns:a="http://schemas.openxmlformats.org/drawingml/2006/main">
          <a:off x="266699" y="923926"/>
          <a:ext cx="136207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1600" b="1"/>
            <a:t>AGOSTO 2012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0.16471</cdr:x>
      <cdr:y>0.09711</cdr:y>
    </cdr:from>
    <cdr:to>
      <cdr:x>0.44706</cdr:x>
      <cdr:y>0.34908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5334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0.01842</cdr:x>
      <cdr:y>0.86614</cdr:y>
    </cdr:from>
    <cdr:to>
      <cdr:x>0.30077</cdr:x>
      <cdr:y>0.979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47901" y="3143251"/>
          <a:ext cx="734201" cy="4095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1400" b="1"/>
            <a:t>AGOSTO</a:t>
          </a:r>
          <a:r>
            <a:rPr lang="es-MX" sz="1400" b="1" baseline="0"/>
            <a:t> 2012</a:t>
          </a:r>
          <a:endParaRPr lang="es-MX" sz="1400" b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0.04547</cdr:x>
      <cdr:y>0.86324</cdr:y>
    </cdr:from>
    <cdr:to>
      <cdr:x>0.25826</cdr:x>
      <cdr:y>0.9658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12612" y="3132710"/>
          <a:ext cx="526975" cy="3721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1400" b="1"/>
            <a:t>AGOSTO 2012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0.15</cdr:x>
      <cdr:y>0.24869</cdr:y>
    </cdr:from>
    <cdr:to>
      <cdr:x>0.36818</cdr:x>
      <cdr:y>0.5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628650" y="904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MX" sz="1100"/>
        </a:p>
      </cdr:txBody>
    </cdr:sp>
  </cdr:relSizeAnchor>
  <cdr:relSizeAnchor xmlns:cdr="http://schemas.openxmlformats.org/drawingml/2006/chartDrawing">
    <cdr:from>
      <cdr:x>0.075</cdr:x>
      <cdr:y>0.17801</cdr:y>
    </cdr:from>
    <cdr:to>
      <cdr:x>0.29318</cdr:x>
      <cdr:y>0.2801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314325" y="647700"/>
          <a:ext cx="91440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MX" sz="1400" b="1"/>
            <a:t>AGOSTO 2012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807</Characters>
  <Application>Microsoft Office Word</Application>
  <DocSecurity>0</DocSecurity>
  <Lines>6</Lines>
  <Paragraphs>1</Paragraphs>
  <ScaleCrop>false</ScaleCrop>
  <Company>Toshiba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Lic. Pablo Quintero R</cp:lastModifiedBy>
  <cp:revision>2</cp:revision>
  <dcterms:created xsi:type="dcterms:W3CDTF">2012-10-24T02:35:00Z</dcterms:created>
  <dcterms:modified xsi:type="dcterms:W3CDTF">2012-10-24T02:35:00Z</dcterms:modified>
</cp:coreProperties>
</file>