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FC" w:rsidRPr="003776FA" w:rsidRDefault="00167BFC" w:rsidP="00167BF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eastAsia="Times New Roman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167BFC" w:rsidRPr="00D80E4D" w:rsidRDefault="0088023E" w:rsidP="00167BF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hyperlink r:id="rId4" w:history="1">
        <w:r w:rsidR="00167BFC" w:rsidRPr="00D80E4D">
          <w:rPr>
            <w:rStyle w:val="Hipervnculo"/>
            <w:rFonts w:ascii="Arial" w:eastAsia="Times New Roman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="00167BFC" w:rsidRPr="00D80E4D">
        <w:rPr>
          <w:rFonts w:ascii="Arial" w:eastAsia="Times New Roman" w:hAnsi="Arial" w:cs="Arial"/>
          <w:sz w:val="23"/>
          <w:szCs w:val="23"/>
          <w:lang w:val="es-MX" w:eastAsia="en-CA"/>
        </w:rPr>
        <w:t xml:space="preserve">; </w:t>
      </w:r>
    </w:p>
    <w:p w:rsidR="00167BFC" w:rsidRDefault="00167BFC" w:rsidP="00167BF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167BFC" w:rsidRDefault="00167BFC" w:rsidP="00167BF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</w:pPr>
    </w:p>
    <w:p w:rsidR="00167BFC" w:rsidRDefault="0088023E" w:rsidP="00167BF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hyperlink r:id="rId5" w:history="1">
        <w:r w:rsidR="00167BFC" w:rsidRPr="002D0296">
          <w:rPr>
            <w:rStyle w:val="Hipervnculo"/>
            <w:rFonts w:ascii="Arial" w:eastAsia="Times New Roman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="00167BFC" w:rsidRPr="002D0296">
        <w:rPr>
          <w:rFonts w:ascii="Arial" w:eastAsia="Times New Roman" w:hAnsi="Arial" w:cs="Arial"/>
          <w:sz w:val="23"/>
          <w:szCs w:val="23"/>
          <w:lang w:val="es-MX" w:eastAsia="en-CA"/>
        </w:rPr>
        <w:t xml:space="preserve">; </w:t>
      </w:r>
    </w:p>
    <w:p w:rsidR="00167BFC" w:rsidRDefault="00167BFC" w:rsidP="00167BF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</w:p>
    <w:p w:rsidR="00167BFC" w:rsidRDefault="00167BFC" w:rsidP="00167BF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r w:rsidRPr="007A6D91">
        <w:rPr>
          <w:rFonts w:ascii="Arial" w:eastAsia="Times New Roman" w:hAnsi="Arial" w:cs="Arial"/>
          <w:noProof/>
          <w:sz w:val="23"/>
          <w:szCs w:val="23"/>
          <w:lang w:val="es-MX" w:eastAsia="es-MX"/>
        </w:rPr>
        <w:drawing>
          <wp:inline distT="0" distB="0" distL="0" distR="0">
            <wp:extent cx="4572000" cy="4105274"/>
            <wp:effectExtent l="19050" t="0" r="19050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7BFC" w:rsidRDefault="00167BFC" w:rsidP="00167BF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r>
        <w:rPr>
          <w:rFonts w:ascii="Arial" w:eastAsia="Times New Roman" w:hAnsi="Arial" w:cs="Arial"/>
          <w:sz w:val="23"/>
          <w:szCs w:val="23"/>
          <w:lang w:val="es-MX" w:eastAsia="en-CA"/>
        </w:rPr>
        <w:lastRenderedPageBreak/>
        <w:t xml:space="preserve">                 </w:t>
      </w:r>
      <w:r w:rsidRPr="007A6D91">
        <w:rPr>
          <w:rFonts w:ascii="Arial" w:eastAsia="Times New Roman" w:hAnsi="Arial" w:cs="Arial"/>
          <w:noProof/>
          <w:sz w:val="23"/>
          <w:szCs w:val="23"/>
          <w:lang w:val="es-MX" w:eastAsia="es-MX"/>
        </w:rPr>
        <w:drawing>
          <wp:inline distT="0" distB="0" distL="0" distR="0">
            <wp:extent cx="2095500" cy="2743200"/>
            <wp:effectExtent l="19050" t="0" r="19050" b="0"/>
            <wp:docPr id="9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Arial" w:eastAsia="Times New Roman" w:hAnsi="Arial" w:cs="Arial"/>
          <w:sz w:val="23"/>
          <w:szCs w:val="23"/>
          <w:lang w:val="es-MX" w:eastAsia="en-CA"/>
        </w:rPr>
        <w:t xml:space="preserve">                 </w:t>
      </w:r>
      <w:r w:rsidRPr="007A6D91">
        <w:rPr>
          <w:rFonts w:ascii="Arial" w:eastAsia="Times New Roman" w:hAnsi="Arial" w:cs="Arial"/>
          <w:noProof/>
          <w:sz w:val="23"/>
          <w:szCs w:val="23"/>
          <w:lang w:val="es-MX" w:eastAsia="es-MX"/>
        </w:rPr>
        <w:drawing>
          <wp:inline distT="0" distB="0" distL="0" distR="0">
            <wp:extent cx="2152650" cy="2743200"/>
            <wp:effectExtent l="19050" t="0" r="19050" b="0"/>
            <wp:docPr id="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7BFC" w:rsidRDefault="00167BFC" w:rsidP="00167BF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r>
        <w:rPr>
          <w:rFonts w:ascii="Arial" w:eastAsia="Times New Roman" w:hAnsi="Arial" w:cs="Arial"/>
          <w:sz w:val="23"/>
          <w:szCs w:val="23"/>
          <w:lang w:val="es-MX" w:eastAsia="en-CA"/>
        </w:rPr>
        <w:t xml:space="preserve">                      </w:t>
      </w:r>
    </w:p>
    <w:p w:rsidR="00167BFC" w:rsidRDefault="00167BFC" w:rsidP="00167BFC">
      <w:pPr>
        <w:ind w:left="0" w:firstLine="0"/>
        <w:rPr>
          <w:color w:val="000000" w:themeColor="text1"/>
          <w:sz w:val="18"/>
          <w:szCs w:val="18"/>
          <w:u w:val="single"/>
          <w:lang w:val="es-MX"/>
        </w:rPr>
      </w:pPr>
    </w:p>
    <w:p w:rsidR="00167BFC" w:rsidRPr="00FB19E2" w:rsidRDefault="00167BFC" w:rsidP="00167BFC">
      <w:pPr>
        <w:tabs>
          <w:tab w:val="left" w:pos="2020"/>
        </w:tabs>
        <w:rPr>
          <w:sz w:val="18"/>
          <w:szCs w:val="18"/>
        </w:rPr>
      </w:pPr>
    </w:p>
    <w:p w:rsidR="00167BFC" w:rsidRDefault="00167BFC" w:rsidP="00167BFC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 </w:t>
      </w:r>
    </w:p>
    <w:p w:rsidR="00167BFC" w:rsidRDefault="00167BFC" w:rsidP="00167BFC">
      <w:r w:rsidRPr="007A6D91">
        <w:rPr>
          <w:noProof/>
          <w:lang w:val="es-MX" w:eastAsia="es-MX"/>
        </w:rPr>
        <w:drawing>
          <wp:inline distT="0" distB="0" distL="0" distR="0">
            <wp:extent cx="4572000" cy="3190875"/>
            <wp:effectExtent l="19050" t="0" r="19050" b="0"/>
            <wp:docPr id="10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60C5" w:rsidRDefault="00E060C5"/>
    <w:sectPr w:rsidR="00E060C5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BFC"/>
    <w:rsid w:val="00167BFC"/>
    <w:rsid w:val="002A58D5"/>
    <w:rsid w:val="0088023E"/>
    <w:rsid w:val="00E0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FC"/>
    <w:pPr>
      <w:spacing w:after="0" w:line="240" w:lineRule="auto"/>
      <w:ind w:left="714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7BF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BF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34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8571741032371027E-2"/>
          <c:y val="3.434655031552096E-2"/>
          <c:w val="0.87087270341207446"/>
          <c:h val="0.61253134382747654"/>
        </c:manualLayout>
      </c:layout>
      <c:bar3DChart>
        <c:barDir val="col"/>
        <c:grouping val="clustered"/>
        <c:ser>
          <c:idx val="0"/>
          <c:order val="0"/>
          <c:tx>
            <c:strRef>
              <c:f>Hoja1!$A$1</c:f>
              <c:strCache>
                <c:ptCount val="1"/>
                <c:pt idx="0">
                  <c:v>MENORES (F)</c:v>
                </c:pt>
              </c:strCache>
            </c:strRef>
          </c:tx>
          <c:dLbls>
            <c:dLbl>
              <c:idx val="0"/>
              <c:layout>
                <c:manualLayout>
                  <c:x val="1.3888888888888892E-2"/>
                  <c:y val="2.784223416025338E-2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tx1"/>
                      </a:solidFill>
                    </a:defRPr>
                  </a:pPr>
                  <a:endParaRPr lang="es-MX"/>
                </a:p>
              </c:txPr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es-MX"/>
              </a:p>
            </c:txPr>
            <c:showVal val="1"/>
          </c:dLbls>
          <c:val>
            <c:numRef>
              <c:f>Hoja1!$B$1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Hoja1!$A$2</c:f>
              <c:strCache>
                <c:ptCount val="1"/>
                <c:pt idx="0">
                  <c:v>MENORES (M)</c:v>
                </c:pt>
              </c:strCache>
            </c:strRef>
          </c:tx>
          <c:dLbls>
            <c:dLbl>
              <c:idx val="0"/>
              <c:layout>
                <c:manualLayout>
                  <c:x val="1.9444444444444445E-2"/>
                  <c:y val="7.7339539334037158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es-MX"/>
              </a:p>
            </c:txPr>
            <c:showVal val="1"/>
          </c:dLbls>
          <c:val>
            <c:numRef>
              <c:f>Hoja1!$B$2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Hoja1!$A$3</c:f>
              <c:strCache>
                <c:ptCount val="1"/>
                <c:pt idx="0">
                  <c:v>MAYORES (F)</c:v>
                </c:pt>
              </c:strCache>
            </c:strRef>
          </c:tx>
          <c:dLbls>
            <c:dLbl>
              <c:idx val="0"/>
              <c:layout>
                <c:manualLayout>
                  <c:x val="1.666666666666667E-2"/>
                  <c:y val="1.8561489440168923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es-MX"/>
              </a:p>
            </c:txPr>
            <c:showVal val="1"/>
          </c:dLbls>
          <c:val>
            <c:numRef>
              <c:f>Hoja1!$B$3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Hoja1!$A$4</c:f>
              <c:strCache>
                <c:ptCount val="1"/>
                <c:pt idx="0">
                  <c:v>MAYORES (M)</c:v>
                </c:pt>
              </c:strCache>
            </c:strRef>
          </c:tx>
          <c:dLbls>
            <c:dLbl>
              <c:idx val="0"/>
              <c:layout>
                <c:manualLayout>
                  <c:x val="3.0555555555555558E-2"/>
                  <c:y val="0.11136893664101348"/>
                </c:manualLayout>
              </c:layout>
              <c:spPr/>
              <c:txPr>
                <a:bodyPr/>
                <a:lstStyle/>
                <a:p>
                  <a:pPr>
                    <a:defRPr sz="1800" b="1"/>
                  </a:pPr>
                  <a:endParaRPr lang="es-MX"/>
                </a:p>
              </c:txPr>
              <c:showVal val="1"/>
            </c:dLbl>
            <c:txPr>
              <a:bodyPr/>
              <a:lstStyle/>
              <a:p>
                <a:pPr>
                  <a:defRPr sz="1800"/>
                </a:pPr>
                <a:endParaRPr lang="es-MX"/>
              </a:p>
            </c:txPr>
            <c:showVal val="1"/>
          </c:dLbls>
          <c:val>
            <c:numRef>
              <c:f>Hoja1!$B$4</c:f>
              <c:numCache>
                <c:formatCode>General</c:formatCode>
                <c:ptCount val="1"/>
                <c:pt idx="0">
                  <c:v>189</c:v>
                </c:pt>
              </c:numCache>
            </c:numRef>
          </c:val>
        </c:ser>
        <c:ser>
          <c:idx val="4"/>
          <c:order val="4"/>
          <c:tx>
            <c:strRef>
              <c:f>Hoja1!$A$5</c:f>
              <c:strCache>
                <c:ptCount val="1"/>
                <c:pt idx="0">
                  <c:v>TOTAL DE DETENIDOS</c:v>
                </c:pt>
              </c:strCache>
            </c:strRef>
          </c:tx>
          <c:dLbls>
            <c:dLbl>
              <c:idx val="0"/>
              <c:layout>
                <c:manualLayout>
                  <c:x val="2.7777777777777891E-2"/>
                  <c:y val="0.19489563912177363"/>
                </c:manualLayout>
              </c:layout>
              <c:spPr/>
              <c:txPr>
                <a:bodyPr/>
                <a:lstStyle/>
                <a:p>
                  <a:pPr>
                    <a:defRPr sz="1800" b="1"/>
                  </a:pPr>
                  <a:endParaRPr lang="es-MX"/>
                </a:p>
              </c:txPr>
              <c:showVal val="1"/>
            </c:dLbl>
            <c:txPr>
              <a:bodyPr/>
              <a:lstStyle/>
              <a:p>
                <a:pPr>
                  <a:defRPr sz="1800"/>
                </a:pPr>
                <a:endParaRPr lang="es-MX"/>
              </a:p>
            </c:txPr>
            <c:showVal val="1"/>
          </c:dLbls>
          <c:val>
            <c:numRef>
              <c:f>Hoja1!$B$5</c:f>
              <c:numCache>
                <c:formatCode>General</c:formatCode>
                <c:ptCount val="1"/>
                <c:pt idx="0">
                  <c:v>233</c:v>
                </c:pt>
              </c:numCache>
            </c:numRef>
          </c:val>
        </c:ser>
        <c:dLbls>
          <c:showVal val="1"/>
        </c:dLbls>
        <c:gapWidth val="75"/>
        <c:shape val="cylinder"/>
        <c:axId val="94364416"/>
        <c:axId val="94366336"/>
        <c:axId val="0"/>
      </c:bar3DChart>
      <c:catAx>
        <c:axId val="94364416"/>
        <c:scaling>
          <c:orientation val="minMax"/>
        </c:scaling>
        <c:delete val="1"/>
        <c:axPos val="b"/>
        <c:majorTickMark val="none"/>
        <c:tickLblPos val="nextTo"/>
        <c:crossAx val="94366336"/>
        <c:crosses val="autoZero"/>
        <c:auto val="1"/>
        <c:lblAlgn val="ctr"/>
        <c:lblOffset val="100"/>
      </c:catAx>
      <c:valAx>
        <c:axId val="9436633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4364416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38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8181818181818184E-2"/>
                  <c:y val="0.21759259259259264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tx1"/>
                      </a:solidFill>
                    </a:defRPr>
                  </a:pPr>
                  <a:endParaRPr lang="es-MX"/>
                </a:p>
              </c:txPr>
              <c:showVal val="1"/>
            </c:dLbl>
            <c:showVal val="1"/>
          </c:dLbls>
          <c:cat>
            <c:strRef>
              <c:f>Hoja3!$A$1</c:f>
              <c:strCache>
                <c:ptCount val="1"/>
                <c:pt idx="0">
                  <c:v>LICENCIAS</c:v>
                </c:pt>
              </c:strCache>
            </c:strRef>
          </c:cat>
          <c:val>
            <c:numRef>
              <c:f>Hoja3!$B$1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dLbls>
          <c:showVal val="1"/>
        </c:dLbls>
        <c:gapWidth val="75"/>
        <c:shape val="cylinder"/>
        <c:axId val="108926080"/>
        <c:axId val="117730304"/>
        <c:axId val="0"/>
      </c:bar3DChart>
      <c:catAx>
        <c:axId val="108926080"/>
        <c:scaling>
          <c:orientation val="minMax"/>
        </c:scaling>
        <c:delete val="1"/>
        <c:axPos val="b"/>
        <c:majorTickMark val="none"/>
        <c:tickLblPos val="nextTo"/>
        <c:crossAx val="117730304"/>
        <c:crosses val="autoZero"/>
        <c:auto val="1"/>
        <c:lblAlgn val="ctr"/>
        <c:lblOffset val="100"/>
      </c:catAx>
      <c:valAx>
        <c:axId val="11773030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8926080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3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Hoja2!$A$1</c:f>
              <c:strCache>
                <c:ptCount val="1"/>
                <c:pt idx="0">
                  <c:v>MULTAS</c:v>
                </c:pt>
              </c:strCache>
            </c:strRef>
          </c:tx>
          <c:dLbls>
            <c:dLbl>
              <c:idx val="0"/>
              <c:layout>
                <c:manualLayout>
                  <c:x val="3.5398230088495582E-2"/>
                  <c:y val="0.20833333333333337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tx1"/>
                      </a:solidFill>
                    </a:defRPr>
                  </a:pPr>
                  <a:endParaRPr lang="es-MX"/>
                </a:p>
              </c:txPr>
              <c:showVal val="1"/>
            </c:dLbl>
            <c:showVal val="1"/>
          </c:dLbls>
          <c:val>
            <c:numRef>
              <c:f>Hoja2!$B$1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dLbls>
          <c:showVal val="1"/>
        </c:dLbls>
        <c:gapWidth val="75"/>
        <c:shape val="cylinder"/>
        <c:axId val="118059008"/>
        <c:axId val="118060928"/>
        <c:axId val="0"/>
      </c:bar3DChart>
      <c:catAx>
        <c:axId val="118059008"/>
        <c:scaling>
          <c:orientation val="minMax"/>
        </c:scaling>
        <c:delete val="1"/>
        <c:axPos val="b"/>
        <c:majorTickMark val="none"/>
        <c:tickLblPos val="nextTo"/>
        <c:crossAx val="118060928"/>
        <c:crosses val="autoZero"/>
        <c:auto val="1"/>
        <c:lblAlgn val="ctr"/>
        <c:lblOffset val="100"/>
      </c:catAx>
      <c:valAx>
        <c:axId val="11806092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8059008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2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Hoja4!$A$1</c:f>
              <c:strCache>
                <c:ptCount val="1"/>
                <c:pt idx="0">
                  <c:v>CON LESIONADOS</c:v>
                </c:pt>
              </c:strCache>
            </c:strRef>
          </c:tx>
          <c:dLbls>
            <c:dLbl>
              <c:idx val="0"/>
              <c:layout>
                <c:manualLayout>
                  <c:x val="-2.5462668816040007E-17"/>
                  <c:y val="0.16716417910447753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tx1"/>
                        </a:solidFill>
                      </a:rPr>
                      <a:t>36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es-MX"/>
              </a:p>
            </c:txPr>
            <c:showVal val="1"/>
          </c:dLbls>
          <c:val>
            <c:numRef>
              <c:f>Hoja4!$B$1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Hoja4!$A$2</c:f>
              <c:strCache>
                <c:ptCount val="1"/>
                <c:pt idx="0">
                  <c:v>SIN LESIONADOS</c:v>
                </c:pt>
              </c:strCache>
            </c:strRef>
          </c:tx>
          <c:dLbls>
            <c:dLbl>
              <c:idx val="0"/>
              <c:layout>
                <c:manualLayout>
                  <c:x val="1.3888888888888892E-2"/>
                  <c:y val="0.14328358208955225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tx1"/>
                      </a:solidFill>
                    </a:defRPr>
                  </a:pPr>
                  <a:endParaRPr lang="es-MX"/>
                </a:p>
              </c:txPr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es-MX"/>
              </a:p>
            </c:txPr>
            <c:showVal val="1"/>
          </c:dLbls>
          <c:val>
            <c:numRef>
              <c:f>Hoja4!$B$2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2"/>
          <c:order val="2"/>
          <c:tx>
            <c:strRef>
              <c:f>Hoja4!$A$3</c:f>
              <c:strCache>
                <c:ptCount val="1"/>
                <c:pt idx="0">
                  <c:v>CHOQUES POR ALCANCE</c:v>
                </c:pt>
              </c:strCache>
            </c:strRef>
          </c:tx>
          <c:dLbls>
            <c:dLbl>
              <c:idx val="0"/>
              <c:layout>
                <c:manualLayout>
                  <c:x val="3.0555555555555558E-2"/>
                  <c:y val="3.5820895522388062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chemeClr val="tx1"/>
                    </a:solidFill>
                  </a:defRPr>
                </a:pPr>
                <a:endParaRPr lang="es-MX"/>
              </a:p>
            </c:txPr>
            <c:showVal val="1"/>
          </c:dLbls>
          <c:val>
            <c:numRef>
              <c:f>Hoja4!$B$3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Hoja4!$A$4</c:f>
              <c:strCache>
                <c:ptCount val="1"/>
                <c:pt idx="0">
                  <c:v>TOTAL DE ACCIDENTES</c:v>
                </c:pt>
              </c:strCache>
            </c:strRef>
          </c:tx>
          <c:dLbls>
            <c:dLbl>
              <c:idx val="0"/>
              <c:layout>
                <c:manualLayout>
                  <c:x val="8.333333333333335E-3"/>
                  <c:y val="0.21890547263681595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tx1"/>
                      </a:solidFill>
                    </a:defRPr>
                  </a:pPr>
                  <a:endParaRPr lang="es-MX"/>
                </a:p>
              </c:txPr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es-MX"/>
              </a:p>
            </c:txPr>
            <c:showVal val="1"/>
          </c:dLbls>
          <c:val>
            <c:numRef>
              <c:f>Hoja4!$B$4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dLbls>
          <c:showVal val="1"/>
        </c:dLbls>
        <c:gapWidth val="75"/>
        <c:shape val="cylinder"/>
        <c:axId val="118246784"/>
        <c:axId val="118256768"/>
        <c:axId val="0"/>
      </c:bar3DChart>
      <c:catAx>
        <c:axId val="118246784"/>
        <c:scaling>
          <c:orientation val="minMax"/>
        </c:scaling>
        <c:delete val="1"/>
        <c:axPos val="b"/>
        <c:majorTickMark val="none"/>
        <c:tickLblPos val="nextTo"/>
        <c:crossAx val="118256768"/>
        <c:crosses val="autoZero"/>
        <c:auto val="1"/>
        <c:lblAlgn val="ctr"/>
        <c:lblOffset val="100"/>
      </c:catAx>
      <c:valAx>
        <c:axId val="11825676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8246784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0.21458</cdr:x>
      <cdr:y>0.69948</cdr:y>
    </cdr:from>
    <cdr:to>
      <cdr:x>0.63958</cdr:x>
      <cdr:y>0.80365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981075" y="2871556"/>
          <a:ext cx="1943100" cy="4276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s-MX" sz="1600" b="1"/>
            <a:t>MAYO</a:t>
          </a:r>
          <a:r>
            <a:rPr lang="es-MX" sz="1600" b="1" baseline="0"/>
            <a:t> DE 2012</a:t>
          </a:r>
          <a:endParaRPr lang="es-MX" sz="1600" b="1"/>
        </a:p>
      </cdr:txBody>
    </cdr:sp>
  </cdr:relSizeAnchor>
  <cdr:relSizeAnchor xmlns:cdr="http://schemas.openxmlformats.org/drawingml/2006/chartDrawing">
    <cdr:from>
      <cdr:x>0.30417</cdr:x>
      <cdr:y>0.00928</cdr:y>
    </cdr:from>
    <cdr:to>
      <cdr:x>0.6875</cdr:x>
      <cdr:y>0.08353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1390650" y="38099"/>
          <a:ext cx="17526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s-MX" sz="2000" b="1"/>
            <a:t>DETENIDOS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0.37828</cdr:x>
      <cdr:y>0.03125</cdr:y>
    </cdr:from>
    <cdr:to>
      <cdr:x>0.98127</cdr:x>
      <cdr:y>0.16319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962025" y="85725"/>
          <a:ext cx="1533525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s-MX" sz="1800" b="1"/>
            <a:t>LICENCIAS</a:t>
          </a:r>
        </a:p>
      </cdr:txBody>
    </cdr:sp>
  </cdr:relSizeAnchor>
  <cdr:relSizeAnchor xmlns:cdr="http://schemas.openxmlformats.org/drawingml/2006/chartDrawing">
    <cdr:from>
      <cdr:x>0.37273</cdr:x>
      <cdr:y>0.87847</cdr:y>
    </cdr:from>
    <cdr:to>
      <cdr:x>1</cdr:x>
      <cdr:y>0.98175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781050" y="2292675"/>
          <a:ext cx="1314450" cy="26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s-MX" sz="1400" b="1"/>
            <a:t>MAYO DE 2012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0.20796</cdr:x>
      <cdr:y>0.03819</cdr:y>
    </cdr:from>
    <cdr:to>
      <cdr:x>0.85398</cdr:x>
      <cdr:y>0.13542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447675" y="104775"/>
          <a:ext cx="13906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s-MX" sz="1800" b="1"/>
            <a:t>MULTAS</a:t>
          </a:r>
        </a:p>
      </cdr:txBody>
    </cdr:sp>
  </cdr:relSizeAnchor>
  <cdr:relSizeAnchor xmlns:cdr="http://schemas.openxmlformats.org/drawingml/2006/chartDrawing">
    <cdr:from>
      <cdr:x>0.29204</cdr:x>
      <cdr:y>0.88194</cdr:y>
    </cdr:from>
    <cdr:to>
      <cdr:x>0.97787</cdr:x>
      <cdr:y>0.97222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628650" y="2419341"/>
          <a:ext cx="1476367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s-MX" sz="1400" b="1"/>
            <a:t>MAYO DE 2012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0.17292</cdr:x>
      <cdr:y>0.00694</cdr:y>
    </cdr:from>
    <cdr:to>
      <cdr:x>0.55625</cdr:x>
      <cdr:y>0.14236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790575" y="19050"/>
          <a:ext cx="175260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s-MX" sz="2000" b="1"/>
            <a:t>ACCIDENTES</a:t>
          </a:r>
        </a:p>
      </cdr:txBody>
    </cdr:sp>
  </cdr:relSizeAnchor>
  <cdr:relSizeAnchor xmlns:cdr="http://schemas.openxmlformats.org/drawingml/2006/chartDrawing">
    <cdr:from>
      <cdr:x>0.04583</cdr:x>
      <cdr:y>0.23248</cdr:y>
    </cdr:from>
    <cdr:to>
      <cdr:x>0.36667</cdr:x>
      <cdr:y>0.32276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209550" y="741826"/>
          <a:ext cx="1466850" cy="2880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s-MX" sz="1400" b="1"/>
            <a:t>MAYO DE 2012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</dc:creator>
  <cp:lastModifiedBy>Unico</cp:lastModifiedBy>
  <cp:revision>2</cp:revision>
  <dcterms:created xsi:type="dcterms:W3CDTF">2012-06-11T16:36:00Z</dcterms:created>
  <dcterms:modified xsi:type="dcterms:W3CDTF">2012-06-11T17:14:00Z</dcterms:modified>
</cp:coreProperties>
</file>