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60" w:rsidRPr="003776FA" w:rsidRDefault="00BB6760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val="es-MX" w:eastAsia="en-CA"/>
        </w:rPr>
      </w:pPr>
      <w:r w:rsidRPr="003776FA">
        <w:rPr>
          <w:rFonts w:ascii="Arial" w:eastAsia="Times New Roman" w:hAnsi="Arial" w:cs="Arial"/>
          <w:b/>
          <w:bCs/>
          <w:color w:val="333333"/>
          <w:sz w:val="23"/>
          <w:lang w:val="es-MX" w:eastAsia="en-CA"/>
        </w:rPr>
        <w:t>Artículo 14</w:t>
      </w:r>
    </w:p>
    <w:p w:rsidR="00BB6760" w:rsidRPr="00D80E4D" w:rsidRDefault="005E4E82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sz w:val="23"/>
          <w:szCs w:val="23"/>
          <w:lang w:val="es-MX" w:eastAsia="en-CA"/>
        </w:rPr>
      </w:pPr>
      <w:hyperlink r:id="rId4" w:history="1">
        <w:r w:rsidR="00BB6760" w:rsidRPr="00D80E4D">
          <w:rPr>
            <w:rStyle w:val="Hipervnculo"/>
            <w:rFonts w:ascii="Arial" w:eastAsia="Times New Roman" w:hAnsi="Arial" w:cs="Arial"/>
            <w:color w:val="auto"/>
            <w:sz w:val="23"/>
            <w:lang w:val="es-MX" w:eastAsia="en-CA"/>
          </w:rPr>
          <w:t>I.- Los indicadores de gestión de los servicios públicos que presten los ayuntamientos</w:t>
        </w:r>
      </w:hyperlink>
      <w:r w:rsidR="00BB6760" w:rsidRPr="00D80E4D">
        <w:rPr>
          <w:rFonts w:ascii="Arial" w:eastAsia="Times New Roman" w:hAnsi="Arial" w:cs="Arial"/>
          <w:sz w:val="23"/>
          <w:szCs w:val="23"/>
          <w:lang w:val="es-MX" w:eastAsia="en-CA"/>
        </w:rPr>
        <w:t xml:space="preserve">; </w:t>
      </w:r>
    </w:p>
    <w:p w:rsidR="00BB6760" w:rsidRDefault="00BB6760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val="es-MX" w:eastAsia="en-CA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es-MX" w:eastAsia="en-CA"/>
        </w:rPr>
        <w:t>No se cuenta con indicadores de gestión</w:t>
      </w:r>
    </w:p>
    <w:p w:rsidR="00BB6760" w:rsidRDefault="005E4E82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sz w:val="23"/>
          <w:szCs w:val="23"/>
          <w:lang w:val="es-MX" w:eastAsia="en-CA"/>
        </w:rPr>
      </w:pPr>
      <w:hyperlink r:id="rId5" w:history="1">
        <w:r w:rsidR="00BB6760" w:rsidRPr="002D0296">
          <w:rPr>
            <w:rStyle w:val="Hipervnculo"/>
            <w:rFonts w:ascii="Arial" w:eastAsia="Times New Roman" w:hAnsi="Arial" w:cs="Arial"/>
            <w:color w:val="auto"/>
            <w:sz w:val="23"/>
            <w:lang w:val="es-MX" w:eastAsia="en-CA"/>
          </w:rPr>
          <w:t>VII.-Estadísticas e indicadores del desempeño de los cuerpos de Seguridad, Tránsito y las demás entidades de la administración municipal</w:t>
        </w:r>
      </w:hyperlink>
      <w:r w:rsidR="00BB6760" w:rsidRPr="002D0296">
        <w:rPr>
          <w:rFonts w:ascii="Arial" w:eastAsia="Times New Roman" w:hAnsi="Arial" w:cs="Arial"/>
          <w:sz w:val="23"/>
          <w:szCs w:val="23"/>
          <w:lang w:val="es-MX" w:eastAsia="en-CA"/>
        </w:rPr>
        <w:t xml:space="preserve">; </w:t>
      </w:r>
    </w:p>
    <w:p w:rsidR="00BB6760" w:rsidRDefault="00BB6760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sz w:val="23"/>
          <w:szCs w:val="23"/>
          <w:lang w:val="es-MX" w:eastAsia="en-CA"/>
        </w:rPr>
      </w:pPr>
    </w:p>
    <w:p w:rsidR="00BB6760" w:rsidRDefault="00486CE2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sz w:val="23"/>
          <w:szCs w:val="23"/>
          <w:lang w:val="es-MX" w:eastAsia="en-CA"/>
        </w:rPr>
      </w:pPr>
      <w:r w:rsidRPr="00486CE2">
        <w:rPr>
          <w:rFonts w:ascii="Arial" w:eastAsia="Times New Roman" w:hAnsi="Arial" w:cs="Arial"/>
          <w:sz w:val="23"/>
          <w:szCs w:val="23"/>
          <w:lang w:val="es-MX" w:eastAsia="en-CA"/>
        </w:rPr>
        <w:drawing>
          <wp:inline distT="0" distB="0" distL="0" distR="0">
            <wp:extent cx="3124200" cy="37338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6760" w:rsidRDefault="00BB6760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sz w:val="23"/>
          <w:szCs w:val="23"/>
          <w:lang w:val="es-MX" w:eastAsia="en-CA"/>
        </w:rPr>
      </w:pPr>
    </w:p>
    <w:p w:rsidR="00BB6760" w:rsidRDefault="00BB6760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eastAsia="Times New Roman" w:hAnsi="Arial" w:cs="Arial"/>
          <w:sz w:val="23"/>
          <w:szCs w:val="23"/>
          <w:lang w:val="es-MX" w:eastAsia="en-CA"/>
        </w:rPr>
      </w:pPr>
      <w:r>
        <w:rPr>
          <w:rFonts w:ascii="Arial" w:eastAsia="Times New Roman" w:hAnsi="Arial" w:cs="Arial"/>
          <w:sz w:val="23"/>
          <w:szCs w:val="23"/>
          <w:lang w:val="es-MX" w:eastAsia="en-CA"/>
        </w:rPr>
        <w:lastRenderedPageBreak/>
        <w:t xml:space="preserve">      </w:t>
      </w:r>
      <w:r w:rsidR="00486CE2" w:rsidRPr="00486CE2">
        <w:rPr>
          <w:rFonts w:ascii="Arial" w:eastAsia="Times New Roman" w:hAnsi="Arial" w:cs="Arial"/>
          <w:sz w:val="23"/>
          <w:szCs w:val="23"/>
          <w:lang w:val="es-MX" w:eastAsia="en-CA"/>
        </w:rPr>
        <w:drawing>
          <wp:inline distT="0" distB="0" distL="0" distR="0">
            <wp:extent cx="1871894" cy="2947386"/>
            <wp:effectExtent l="19050" t="0" r="14056" b="5364"/>
            <wp:docPr id="6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Arial" w:eastAsia="Times New Roman" w:hAnsi="Arial" w:cs="Arial"/>
          <w:sz w:val="23"/>
          <w:szCs w:val="23"/>
          <w:lang w:val="es-MX" w:eastAsia="en-CA"/>
        </w:rPr>
        <w:t xml:space="preserve">              </w:t>
      </w:r>
      <w:r w:rsidR="00F71390" w:rsidRPr="00F71390">
        <w:rPr>
          <w:rFonts w:ascii="Arial" w:eastAsia="Times New Roman" w:hAnsi="Arial" w:cs="Arial"/>
          <w:sz w:val="23"/>
          <w:szCs w:val="23"/>
          <w:lang w:val="es-MX" w:eastAsia="en-CA"/>
        </w:rPr>
        <w:drawing>
          <wp:inline distT="0" distB="0" distL="0" distR="0">
            <wp:extent cx="2111590" cy="2956264"/>
            <wp:effectExtent l="19050" t="0" r="22010" b="0"/>
            <wp:docPr id="7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rial" w:eastAsia="Times New Roman" w:hAnsi="Arial" w:cs="Arial"/>
          <w:sz w:val="23"/>
          <w:szCs w:val="23"/>
          <w:lang w:val="es-MX" w:eastAsia="en-CA"/>
        </w:rPr>
        <w:t xml:space="preserve">  </w:t>
      </w:r>
    </w:p>
    <w:p w:rsidR="00BB6760" w:rsidRDefault="00BB6760" w:rsidP="00BB6760">
      <w:pPr>
        <w:ind w:left="0" w:firstLine="0"/>
        <w:rPr>
          <w:color w:val="000000" w:themeColor="text1"/>
          <w:sz w:val="18"/>
          <w:szCs w:val="18"/>
          <w:u w:val="single"/>
          <w:lang w:val="es-MX"/>
        </w:rPr>
      </w:pPr>
    </w:p>
    <w:p w:rsidR="00BB6760" w:rsidRPr="00FB19E2" w:rsidRDefault="00BB6760" w:rsidP="00BB6760">
      <w:pPr>
        <w:tabs>
          <w:tab w:val="left" w:pos="2020"/>
        </w:tabs>
        <w:rPr>
          <w:sz w:val="18"/>
          <w:szCs w:val="18"/>
        </w:rPr>
      </w:pPr>
    </w:p>
    <w:p w:rsidR="00BB6760" w:rsidRDefault="00BB6760" w:rsidP="00BB6760">
      <w:pPr>
        <w:tabs>
          <w:tab w:val="left" w:pos="2020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</w:p>
    <w:p w:rsidR="00BB6760" w:rsidRPr="005B56F4" w:rsidRDefault="00BB6760" w:rsidP="00BB6760">
      <w:pPr>
        <w:tabs>
          <w:tab w:val="left" w:pos="2020"/>
        </w:tabs>
        <w:rPr>
          <w:b/>
          <w:sz w:val="20"/>
          <w:szCs w:val="20"/>
          <w:lang w:val="es-MX"/>
        </w:rPr>
      </w:pPr>
      <w:r w:rsidRPr="005B56F4">
        <w:rPr>
          <w:b/>
          <w:sz w:val="20"/>
          <w:szCs w:val="20"/>
          <w:lang w:val="es-MX"/>
        </w:rPr>
        <w:t xml:space="preserve">                                                 </w:t>
      </w:r>
      <w:r w:rsidRPr="005B56F4">
        <w:rPr>
          <w:b/>
          <w:noProof/>
          <w:sz w:val="20"/>
          <w:szCs w:val="20"/>
          <w:lang w:val="es-MX" w:eastAsia="es-MX"/>
        </w:rPr>
        <w:t xml:space="preserve"> </w:t>
      </w:r>
    </w:p>
    <w:p w:rsidR="00BB6760" w:rsidRPr="005B56F4" w:rsidRDefault="00F71390" w:rsidP="00BB6760">
      <w:pPr>
        <w:tabs>
          <w:tab w:val="left" w:pos="4395"/>
        </w:tabs>
        <w:rPr>
          <w:b/>
          <w:sz w:val="20"/>
          <w:szCs w:val="20"/>
        </w:rPr>
      </w:pPr>
      <w:r w:rsidRPr="00F71390">
        <w:rPr>
          <w:b/>
          <w:sz w:val="20"/>
          <w:szCs w:val="20"/>
        </w:rPr>
        <w:lastRenderedPageBreak/>
        <w:drawing>
          <wp:inline distT="0" distB="0" distL="0" distR="0">
            <wp:extent cx="3400425" cy="3705225"/>
            <wp:effectExtent l="19050" t="0" r="9525" b="0"/>
            <wp:docPr id="8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760" w:rsidRPr="005B56F4" w:rsidRDefault="00BB6760" w:rsidP="00BB6760">
      <w:pPr>
        <w:tabs>
          <w:tab w:val="left" w:pos="4395"/>
        </w:tabs>
        <w:rPr>
          <w:b/>
          <w:sz w:val="20"/>
          <w:szCs w:val="20"/>
        </w:rPr>
      </w:pPr>
    </w:p>
    <w:p w:rsidR="00BB6760" w:rsidRPr="005B56F4" w:rsidRDefault="00BB6760" w:rsidP="00BB6760">
      <w:pPr>
        <w:tabs>
          <w:tab w:val="left" w:pos="4395"/>
        </w:tabs>
        <w:rPr>
          <w:b/>
          <w:sz w:val="20"/>
          <w:szCs w:val="20"/>
        </w:rPr>
      </w:pPr>
    </w:p>
    <w:p w:rsidR="00BB6760" w:rsidRPr="005B56F4" w:rsidRDefault="00BB6760" w:rsidP="00BB6760">
      <w:pPr>
        <w:tabs>
          <w:tab w:val="left" w:pos="4395"/>
        </w:tabs>
        <w:rPr>
          <w:b/>
          <w:sz w:val="20"/>
          <w:szCs w:val="20"/>
        </w:rPr>
      </w:pPr>
    </w:p>
    <w:p w:rsidR="00BB6760" w:rsidRPr="005B56F4" w:rsidRDefault="00BB6760" w:rsidP="00BB6760">
      <w:pPr>
        <w:tabs>
          <w:tab w:val="left" w:pos="4395"/>
        </w:tabs>
        <w:rPr>
          <w:b/>
          <w:sz w:val="20"/>
          <w:szCs w:val="20"/>
        </w:rPr>
      </w:pPr>
      <w:r w:rsidRPr="005B56F4">
        <w:rPr>
          <w:b/>
          <w:sz w:val="20"/>
          <w:szCs w:val="20"/>
        </w:rPr>
        <w:t>GENERO LA INFORMACION: MARIO CAVAZOS ALVAREZ (PERITAJES)</w:t>
      </w:r>
    </w:p>
    <w:p w:rsidR="00BB6760" w:rsidRPr="005B56F4" w:rsidRDefault="005E4E82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eastAsia="Times New Roman" w:cs="Arial"/>
          <w:b/>
          <w:vanish/>
          <w:color w:val="333333"/>
          <w:sz w:val="20"/>
          <w:szCs w:val="20"/>
          <w:lang w:val="es-MX" w:eastAsia="en-CA"/>
        </w:rPr>
      </w:pPr>
      <w:hyperlink r:id="rId10" w:history="1">
        <w:r w:rsidR="00BB6760" w:rsidRPr="005B56F4">
          <w:rPr>
            <w:rFonts w:eastAsia="Times New Roman" w:cs="Arial"/>
            <w:b/>
            <w:vanish/>
            <w:color w:val="0000FF"/>
            <w:sz w:val="20"/>
            <w:szCs w:val="20"/>
            <w:u w:val="single"/>
            <w:lang w:val="es-MX" w:eastAsia="en-CA"/>
          </w:rPr>
          <w:t>I.- Los indicadores de gestión de los servicios públicos que presten los ayuntamientos</w:t>
        </w:r>
      </w:hyperlink>
      <w:r w:rsidR="00BB6760" w:rsidRPr="005B56F4">
        <w:rPr>
          <w:rFonts w:eastAsia="Times New Roman" w:cs="Arial"/>
          <w:b/>
          <w:vanish/>
          <w:color w:val="333333"/>
          <w:sz w:val="20"/>
          <w:szCs w:val="20"/>
          <w:lang w:val="es-MX" w:eastAsia="en-CA"/>
        </w:rPr>
        <w:t xml:space="preserve">; </w:t>
      </w:r>
    </w:p>
    <w:p w:rsidR="00BB6760" w:rsidRPr="005B56F4" w:rsidRDefault="005E4E82" w:rsidP="00BB6760">
      <w:pPr>
        <w:shd w:val="clear" w:color="auto" w:fill="FFFFFF"/>
        <w:spacing w:before="63" w:after="125" w:line="360" w:lineRule="atLeast"/>
        <w:ind w:left="0" w:firstLine="0"/>
        <w:jc w:val="left"/>
        <w:rPr>
          <w:rFonts w:eastAsia="Times New Roman" w:cs="Arial"/>
          <w:b/>
          <w:vanish/>
          <w:color w:val="333333"/>
          <w:sz w:val="20"/>
          <w:szCs w:val="20"/>
          <w:lang w:val="es-MX" w:eastAsia="en-CA"/>
        </w:rPr>
      </w:pPr>
      <w:hyperlink r:id="rId11" w:history="1">
        <w:r w:rsidR="00BB6760" w:rsidRPr="005B56F4">
          <w:rPr>
            <w:rFonts w:eastAsia="Times New Roman" w:cs="Arial"/>
            <w:b/>
            <w:vanish/>
            <w:color w:val="0000FF"/>
            <w:sz w:val="20"/>
            <w:szCs w:val="20"/>
            <w:u w:val="single"/>
            <w:lang w:val="es-MX" w:eastAsia="en-CA"/>
          </w:rPr>
          <w:t>VII.-Estadísticas e indicadores del desempeño de los cuerpos de Seguridad, Tránsito y las demás entidades de la administración municipal</w:t>
        </w:r>
      </w:hyperlink>
      <w:r w:rsidR="00BB6760" w:rsidRPr="005B56F4">
        <w:rPr>
          <w:rFonts w:eastAsia="Times New Roman" w:cs="Arial"/>
          <w:b/>
          <w:vanish/>
          <w:color w:val="333333"/>
          <w:sz w:val="20"/>
          <w:szCs w:val="20"/>
          <w:lang w:val="es-MX" w:eastAsia="en-CA"/>
        </w:rPr>
        <w:t xml:space="preserve">; </w:t>
      </w:r>
    </w:p>
    <w:p w:rsidR="00BB6760" w:rsidRPr="005B56F4" w:rsidRDefault="00BB6760" w:rsidP="00BB6760">
      <w:pPr>
        <w:rPr>
          <w:b/>
          <w:sz w:val="20"/>
          <w:szCs w:val="20"/>
        </w:rPr>
      </w:pPr>
    </w:p>
    <w:p w:rsidR="00BB6760" w:rsidRPr="005B56F4" w:rsidRDefault="00BB6760" w:rsidP="00BB6760">
      <w:pPr>
        <w:rPr>
          <w:b/>
          <w:sz w:val="20"/>
          <w:szCs w:val="20"/>
        </w:rPr>
      </w:pPr>
    </w:p>
    <w:p w:rsidR="00BB6760" w:rsidRPr="005B56F4" w:rsidRDefault="00BB6760" w:rsidP="00BB6760">
      <w:pPr>
        <w:rPr>
          <w:b/>
          <w:sz w:val="20"/>
          <w:szCs w:val="20"/>
        </w:rPr>
      </w:pPr>
    </w:p>
    <w:p w:rsidR="00BB6760" w:rsidRDefault="00BB6760" w:rsidP="00BB6760"/>
    <w:p w:rsidR="00BB6760" w:rsidRDefault="00BB6760" w:rsidP="00BB6760"/>
    <w:p w:rsidR="00BB6760" w:rsidRDefault="00BB6760" w:rsidP="00BB6760"/>
    <w:p w:rsidR="00BB6760" w:rsidRDefault="00BB6760" w:rsidP="00BB6760"/>
    <w:p w:rsidR="00BB6760" w:rsidRDefault="00BB6760" w:rsidP="00BB6760"/>
    <w:p w:rsidR="00BB6760" w:rsidRDefault="00BB6760" w:rsidP="00BB6760"/>
    <w:p w:rsidR="00BB4AE2" w:rsidRDefault="00BB4AE2"/>
    <w:sectPr w:rsidR="00BB4AE2" w:rsidSect="00802256">
      <w:pgSz w:w="12240" w:h="15840" w:code="1"/>
      <w:pgMar w:top="2268" w:right="1467" w:bottom="2444" w:left="1701" w:header="851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BB6760"/>
    <w:rsid w:val="00486CE2"/>
    <w:rsid w:val="005E4E82"/>
    <w:rsid w:val="00BB4AE2"/>
    <w:rsid w:val="00BB6760"/>
    <w:rsid w:val="00F7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60"/>
    <w:pPr>
      <w:spacing w:after="0" w:line="240" w:lineRule="auto"/>
      <w:ind w:left="714" w:hanging="357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676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6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://www.juareznl.gob.mx/transparencia/ftp/Administracion%202009-2012/Articulo%2014/VII" TargetMode="External"/><Relationship Id="rId5" Type="http://schemas.openxmlformats.org/officeDocument/2006/relationships/hyperlink" Target="http://www.juareznl.gob.mx/transparencia/ftp/Administracion%202009-2012/Articulo%2014/VII" TargetMode="External"/><Relationship Id="rId10" Type="http://schemas.openxmlformats.org/officeDocument/2006/relationships/hyperlink" Target="http://www.juareznl.gob.mx/transparencia/ftp/Administracion%202009-2012/Articulo%2014/I" TargetMode="External"/><Relationship Id="rId4" Type="http://schemas.openxmlformats.org/officeDocument/2006/relationships/hyperlink" Target="http://www.juareznl.gob.mx/transparencia/ftp/Administracion%202009-2012/Articulo%2014/I" TargetMode="Externa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roundedCorners val="1"/>
  <c:style val="30"/>
  <c:chart>
    <c:title>
      <c:tx>
        <c:rich>
          <a:bodyPr/>
          <a:lstStyle/>
          <a:p>
            <a:pPr>
              <a:defRPr/>
            </a:pPr>
            <a:r>
              <a:rPr lang="en-US"/>
              <a:t>DETENIDOS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Hoja1!$A$1</c:f>
              <c:strCache>
                <c:ptCount val="1"/>
                <c:pt idx="0">
                  <c:v>MENORES (F)</c:v>
                </c:pt>
              </c:strCache>
            </c:strRef>
          </c:tx>
          <c:val>
            <c:numRef>
              <c:f>Hoja1!$B$1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Hoja1!$A$2</c:f>
              <c:strCache>
                <c:ptCount val="1"/>
                <c:pt idx="0">
                  <c:v>MENORES (M)</c:v>
                </c:pt>
              </c:strCache>
            </c:strRef>
          </c:tx>
          <c:val>
            <c:numRef>
              <c:f>Hoja1!$B$2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Hoja1!$A$3</c:f>
              <c:strCache>
                <c:ptCount val="1"/>
                <c:pt idx="0">
                  <c:v>MAYORES (F)</c:v>
                </c:pt>
              </c:strCache>
            </c:strRef>
          </c:tx>
          <c:val>
            <c:numRef>
              <c:f>Hoja1!$B$3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Hoja1!$A$4</c:f>
              <c:strCache>
                <c:ptCount val="1"/>
                <c:pt idx="0">
                  <c:v>MAYORES (M)</c:v>
                </c:pt>
              </c:strCache>
            </c:strRef>
          </c:tx>
          <c:val>
            <c:numRef>
              <c:f>Hoja1!$B$4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4"/>
          <c:order val="4"/>
          <c:tx>
            <c:strRef>
              <c:f>Hoja1!$A$5</c:f>
              <c:strCache>
                <c:ptCount val="1"/>
                <c:pt idx="0">
                  <c:v>TOTAL DE DETENIDOS</c:v>
                </c:pt>
              </c:strCache>
            </c:strRef>
          </c:tx>
          <c:val>
            <c:numRef>
              <c:f>Hoja1!$B$5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</c:ser>
        <c:axId val="48471424"/>
        <c:axId val="52741248"/>
      </c:barChart>
      <c:catAx>
        <c:axId val="48471424"/>
        <c:scaling>
          <c:orientation val="minMax"/>
        </c:scaling>
        <c:axPos val="b"/>
        <c:majorTickMark val="none"/>
        <c:tickLblPos val="nextTo"/>
        <c:crossAx val="52741248"/>
        <c:crosses val="autoZero"/>
        <c:auto val="1"/>
        <c:lblAlgn val="ctr"/>
        <c:lblOffset val="100"/>
      </c:catAx>
      <c:valAx>
        <c:axId val="527412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JULIO DE 2011</a:t>
                </a:r>
              </a:p>
            </c:rich>
          </c:tx>
        </c:title>
        <c:numFmt formatCode="General" sourceLinked="1"/>
        <c:majorTickMark val="none"/>
        <c:tickLblPos val="nextTo"/>
        <c:crossAx val="48471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roundedCorners val="1"/>
  <c:style val="27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Hoja3!$A$1</c:f>
              <c:strCache>
                <c:ptCount val="1"/>
                <c:pt idx="0">
                  <c:v>MULTAS</c:v>
                </c:pt>
              </c:strCache>
            </c:strRef>
          </c:tx>
          <c:val>
            <c:numRef>
              <c:f>Hoja3!$B$1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axId val="53003008"/>
        <c:axId val="53005312"/>
      </c:barChart>
      <c:catAx>
        <c:axId val="53003008"/>
        <c:scaling>
          <c:orientation val="minMax"/>
        </c:scaling>
        <c:axPos val="b"/>
        <c:majorTickMark val="none"/>
        <c:tickLblPos val="nextTo"/>
        <c:crossAx val="53005312"/>
        <c:crosses val="autoZero"/>
        <c:auto val="1"/>
        <c:lblAlgn val="ctr"/>
        <c:lblOffset val="100"/>
      </c:catAx>
      <c:valAx>
        <c:axId val="530053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JULIO DE 2011</a:t>
                </a:r>
              </a:p>
            </c:rich>
          </c:tx>
        </c:title>
        <c:numFmt formatCode="General" sourceLinked="1"/>
        <c:majorTickMark val="none"/>
        <c:tickLblPos val="nextTo"/>
        <c:crossAx val="53003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roundedCorners val="1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Hoja5!$A$1</c:f>
              <c:strCache>
                <c:ptCount val="1"/>
                <c:pt idx="0">
                  <c:v>LICENCIAS</c:v>
                </c:pt>
              </c:strCache>
            </c:strRef>
          </c:tx>
          <c:val>
            <c:numRef>
              <c:f>Hoja5!$B$1</c:f>
              <c:numCache>
                <c:formatCode>General</c:formatCode>
                <c:ptCount val="1"/>
                <c:pt idx="0">
                  <c:v>419</c:v>
                </c:pt>
              </c:numCache>
            </c:numRef>
          </c:val>
        </c:ser>
        <c:axId val="53179520"/>
        <c:axId val="53181440"/>
      </c:barChart>
      <c:catAx>
        <c:axId val="53179520"/>
        <c:scaling>
          <c:orientation val="minMax"/>
        </c:scaling>
        <c:axPos val="b"/>
        <c:majorTickMark val="none"/>
        <c:tickLblPos val="nextTo"/>
        <c:crossAx val="53181440"/>
        <c:crosses val="autoZero"/>
        <c:auto val="1"/>
        <c:lblAlgn val="ctr"/>
        <c:lblOffset val="100"/>
      </c:catAx>
      <c:valAx>
        <c:axId val="531814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JULIO DE 2011</a:t>
                </a:r>
              </a:p>
            </c:rich>
          </c:tx>
        </c:title>
        <c:numFmt formatCode="General" sourceLinked="1"/>
        <c:majorTickMark val="none"/>
        <c:tickLblPos val="nextTo"/>
        <c:crossAx val="531795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roundedCorners val="1"/>
  <c:style val="32"/>
  <c:chart>
    <c:title>
      <c:tx>
        <c:rich>
          <a:bodyPr/>
          <a:lstStyle/>
          <a:p>
            <a:pPr>
              <a:defRPr/>
            </a:pPr>
            <a:r>
              <a:rPr lang="en-US"/>
              <a:t>ACCIDENTES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Hoja6!$A$1</c:f>
              <c:strCache>
                <c:ptCount val="1"/>
                <c:pt idx="0">
                  <c:v>CON LESIONADOS</c:v>
                </c:pt>
              </c:strCache>
            </c:strRef>
          </c:tx>
          <c:val>
            <c:numRef>
              <c:f>Hoja6!$B$1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Hoja6!$A$2</c:f>
              <c:strCache>
                <c:ptCount val="1"/>
                <c:pt idx="0">
                  <c:v>SIN LESIONADOS</c:v>
                </c:pt>
              </c:strCache>
            </c:strRef>
          </c:tx>
          <c:val>
            <c:numRef>
              <c:f>Hoja6!$B$2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Hoja6!$A$3</c:f>
              <c:strCache>
                <c:ptCount val="1"/>
                <c:pt idx="0">
                  <c:v>CHOQUES POR ALCANCE</c:v>
                </c:pt>
              </c:strCache>
            </c:strRef>
          </c:tx>
          <c:val>
            <c:numRef>
              <c:f>Hoja6!$B$3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Hoja6!$A$4</c:f>
              <c:strCache>
                <c:ptCount val="1"/>
                <c:pt idx="0">
                  <c:v>TOTAL DE ACCIDENTES</c:v>
                </c:pt>
              </c:strCache>
            </c:strRef>
          </c:tx>
          <c:val>
            <c:numRef>
              <c:f>Hoja6!$B$4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axId val="70130688"/>
        <c:axId val="70655360"/>
      </c:barChart>
      <c:catAx>
        <c:axId val="70130688"/>
        <c:scaling>
          <c:orientation val="minMax"/>
        </c:scaling>
        <c:axPos val="b"/>
        <c:majorTickMark val="none"/>
        <c:tickLblPos val="nextTo"/>
        <c:crossAx val="70655360"/>
        <c:crosses val="autoZero"/>
        <c:auto val="1"/>
        <c:lblAlgn val="ctr"/>
        <c:lblOffset val="100"/>
      </c:catAx>
      <c:valAx>
        <c:axId val="706553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JULIO DE 2011</a:t>
                </a:r>
              </a:p>
            </c:rich>
          </c:tx>
        </c:title>
        <c:numFmt formatCode="General" sourceLinked="1"/>
        <c:majorTickMark val="none"/>
        <c:tickLblPos val="nextTo"/>
        <c:crossAx val="701306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2011-07-19T16:04:00Z</dcterms:created>
  <dcterms:modified xsi:type="dcterms:W3CDTF">2011-08-16T15:48:00Z</dcterms:modified>
</cp:coreProperties>
</file>