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shd w:val="clear" w:color="auto" w:fill="FFFF00"/>
        <w:tblLook w:val="04A0"/>
      </w:tblPr>
      <w:tblGrid>
        <w:gridCol w:w="9962"/>
      </w:tblGrid>
      <w:tr w:rsidR="00BF482E" w:rsidTr="00307C85">
        <w:tc>
          <w:tcPr>
            <w:tcW w:w="9962" w:type="dxa"/>
            <w:shd w:val="clear" w:color="auto" w:fill="FFFF00"/>
          </w:tcPr>
          <w:p w:rsidR="00BF482E" w:rsidRDefault="00BF482E" w:rsidP="00307C85">
            <w:pPr>
              <w:rPr>
                <w:rFonts w:ascii="Arial" w:eastAsia="Times New Roman" w:hAnsi="Arial" w:cs="Arial"/>
                <w:b/>
                <w:sz w:val="20"/>
                <w:szCs w:val="20"/>
                <w:lang w:eastAsia="es-MX"/>
              </w:rPr>
            </w:pPr>
          </w:p>
          <w:p w:rsidR="00BF482E" w:rsidRDefault="00BF482E" w:rsidP="00BF482E">
            <w:pPr>
              <w:jc w:val="center"/>
              <w:rPr>
                <w:rFonts w:ascii="Arial" w:eastAsia="Times New Roman" w:hAnsi="Arial" w:cs="Arial"/>
                <w:b/>
                <w:sz w:val="20"/>
                <w:szCs w:val="20"/>
                <w:lang w:eastAsia="es-MX"/>
              </w:rPr>
            </w:pPr>
            <w:r w:rsidRPr="0098664B">
              <w:rPr>
                <w:rFonts w:ascii="Arial" w:eastAsia="Times New Roman" w:hAnsi="Arial" w:cs="Arial"/>
                <w:b/>
                <w:sz w:val="20"/>
                <w:szCs w:val="20"/>
                <w:lang w:eastAsia="es-MX"/>
              </w:rPr>
              <w:t>Información relativa a los hipervínculos del formato NLA95F</w:t>
            </w:r>
            <w:r>
              <w:rPr>
                <w:rFonts w:ascii="Arial" w:eastAsia="Times New Roman" w:hAnsi="Arial" w:cs="Arial"/>
                <w:b/>
                <w:sz w:val="20"/>
                <w:szCs w:val="20"/>
                <w:lang w:eastAsia="es-MX"/>
              </w:rPr>
              <w:t>VII</w:t>
            </w:r>
          </w:p>
          <w:p w:rsidR="00BF482E" w:rsidRPr="00BF482E" w:rsidRDefault="00BF482E" w:rsidP="00BF482E">
            <w:pPr>
              <w:jc w:val="center"/>
              <w:rPr>
                <w:rFonts w:ascii="Arial" w:eastAsia="Times New Roman" w:hAnsi="Arial" w:cs="Arial"/>
                <w:b/>
                <w:color w:val="000000"/>
                <w:sz w:val="20"/>
                <w:szCs w:val="20"/>
                <w:lang w:eastAsia="es-MX"/>
              </w:rPr>
            </w:pPr>
            <w:r w:rsidRPr="00BF482E">
              <w:rPr>
                <w:rFonts w:ascii="Arial" w:eastAsia="Times New Roman" w:hAnsi="Arial" w:cs="Arial"/>
                <w:b/>
                <w:color w:val="000000"/>
                <w:sz w:val="20"/>
                <w:szCs w:val="20"/>
                <w:lang w:eastAsia="es-MX"/>
              </w:rPr>
              <w:t>INDICADORES ESTRATÉGICOS Y DE GESTIÓN</w:t>
            </w:r>
          </w:p>
          <w:p w:rsidR="00BF482E" w:rsidRDefault="00BF482E" w:rsidP="00307C85">
            <w:pPr>
              <w:rPr>
                <w:rFonts w:ascii="Arial" w:eastAsia="Times New Roman" w:hAnsi="Arial" w:cs="Arial"/>
                <w:b/>
                <w:sz w:val="20"/>
                <w:szCs w:val="20"/>
                <w:lang w:eastAsia="es-MX"/>
              </w:rPr>
            </w:pPr>
          </w:p>
        </w:tc>
      </w:tr>
    </w:tbl>
    <w:p w:rsidR="00BF482E" w:rsidRDefault="00BF482E" w:rsidP="00915A48">
      <w:pPr>
        <w:spacing w:after="0" w:line="240" w:lineRule="auto"/>
        <w:rPr>
          <w:rFonts w:ascii="Arial" w:eastAsia="Times New Roman" w:hAnsi="Arial" w:cs="Arial"/>
          <w:color w:val="000000"/>
          <w:sz w:val="20"/>
          <w:szCs w:val="20"/>
          <w:lang w:eastAsia="es-MX"/>
        </w:rPr>
      </w:pPr>
    </w:p>
    <w:p w:rsidR="00BF482E" w:rsidRDefault="00BF482E" w:rsidP="00915A48">
      <w:pPr>
        <w:spacing w:after="0" w:line="240" w:lineRule="auto"/>
        <w:rPr>
          <w:rFonts w:ascii="Arial" w:eastAsia="Times New Roman" w:hAnsi="Arial" w:cs="Arial"/>
          <w:color w:val="000000"/>
          <w:sz w:val="20"/>
          <w:szCs w:val="20"/>
          <w:lang w:eastAsia="es-MX"/>
        </w:rPr>
      </w:pPr>
    </w:p>
    <w:p w:rsidR="00BF482E" w:rsidRDefault="00BF482E" w:rsidP="00915A48">
      <w:pPr>
        <w:spacing w:after="0" w:line="240" w:lineRule="auto"/>
        <w:rPr>
          <w:rFonts w:ascii="Arial" w:eastAsia="Times New Roman" w:hAnsi="Arial" w:cs="Arial"/>
          <w:color w:val="000000"/>
          <w:sz w:val="20"/>
          <w:szCs w:val="20"/>
          <w:lang w:eastAsia="es-MX"/>
        </w:rPr>
      </w:pPr>
      <w:r w:rsidRPr="00BF482E">
        <w:rPr>
          <w:rFonts w:ascii="Arial" w:eastAsia="Times New Roman" w:hAnsi="Arial" w:cs="Arial"/>
          <w:color w:val="000000"/>
          <w:sz w:val="20"/>
          <w:szCs w:val="20"/>
          <w:lang w:eastAsia="es-MX"/>
        </w:rPr>
        <w:t>Hipervínculo al indicador estratégico o de gestión</w:t>
      </w:r>
    </w:p>
    <w:p w:rsidR="00BF482E" w:rsidRDefault="00CA2506" w:rsidP="00BF482E">
      <w:pPr>
        <w:spacing w:after="0" w:line="240" w:lineRule="auto"/>
        <w:jc w:val="both"/>
        <w:rPr>
          <w:rFonts w:ascii="Calibri" w:eastAsia="Times New Roman" w:hAnsi="Calibri" w:cs="Calibri"/>
          <w:b/>
          <w:lang w:eastAsia="es-MX"/>
        </w:rPr>
      </w:pPr>
      <w:hyperlink r:id="rId4" w:history="1">
        <w:r w:rsidR="00BF482E" w:rsidRPr="00BF482E">
          <w:rPr>
            <w:rFonts w:ascii="Calibri" w:eastAsia="Times New Roman" w:hAnsi="Calibri" w:cs="Calibri"/>
            <w:color w:val="0563C1"/>
            <w:u w:val="single"/>
            <w:lang w:eastAsia="es-MX"/>
          </w:rPr>
          <w:t>http://juarez-nl.gob.mx/articulo-10/articulo-10-i-3</w:t>
        </w:r>
      </w:hyperlink>
      <w:r w:rsidR="00BF482E" w:rsidRPr="00BF482E">
        <w:rPr>
          <w:rFonts w:ascii="Calibri" w:eastAsia="Times New Roman" w:hAnsi="Calibri" w:cs="Calibri"/>
          <w:b/>
          <w:lang w:eastAsia="es-MX"/>
        </w:rPr>
        <w:t xml:space="preserve"> </w:t>
      </w:r>
    </w:p>
    <w:p w:rsidR="000D00BF" w:rsidRDefault="000D00BF" w:rsidP="000D00BF">
      <w:pPr>
        <w:spacing w:after="0" w:line="240" w:lineRule="auto"/>
        <w:rPr>
          <w:rFonts w:ascii="Arial" w:eastAsia="Times New Roman" w:hAnsi="Arial" w:cs="Arial"/>
          <w:color w:val="000000"/>
          <w:sz w:val="20"/>
          <w:szCs w:val="20"/>
          <w:lang w:eastAsia="es-MX"/>
        </w:rPr>
      </w:pPr>
      <w:r w:rsidRPr="00BF482E">
        <w:rPr>
          <w:rFonts w:ascii="Arial" w:eastAsia="Times New Roman" w:hAnsi="Arial" w:cs="Arial"/>
          <w:color w:val="000000"/>
          <w:sz w:val="20"/>
          <w:szCs w:val="20"/>
          <w:lang w:eastAsia="es-MX"/>
        </w:rPr>
        <w:t>Hipervínculo a la evaluación del desempeño</w:t>
      </w:r>
    </w:p>
    <w:p w:rsidR="000D00BF" w:rsidRDefault="00CA2506" w:rsidP="000D00BF">
      <w:pPr>
        <w:spacing w:after="0" w:line="240" w:lineRule="auto"/>
        <w:rPr>
          <w:rFonts w:ascii="Arial" w:eastAsia="Times New Roman" w:hAnsi="Arial" w:cs="Arial"/>
          <w:color w:val="000000"/>
          <w:sz w:val="20"/>
          <w:szCs w:val="20"/>
          <w:lang w:eastAsia="es-MX"/>
        </w:rPr>
      </w:pPr>
      <w:hyperlink r:id="rId5" w:history="1">
        <w:r w:rsidR="000D00BF" w:rsidRPr="00BF482E">
          <w:rPr>
            <w:rFonts w:ascii="Calibri" w:eastAsia="Times New Roman" w:hAnsi="Calibri" w:cs="Calibri"/>
            <w:color w:val="0563C1"/>
            <w:u w:val="single"/>
            <w:lang w:eastAsia="es-MX"/>
          </w:rPr>
          <w:t>http://juarez-nl.gob.mx/articulo-10/articulo-10-i-3</w:t>
        </w:r>
      </w:hyperlink>
    </w:p>
    <w:p w:rsidR="000D00BF" w:rsidRDefault="000D00BF" w:rsidP="00BF482E">
      <w:pPr>
        <w:spacing w:after="0" w:line="240" w:lineRule="auto"/>
        <w:jc w:val="both"/>
        <w:rPr>
          <w:rFonts w:ascii="Calibri" w:eastAsia="Times New Roman" w:hAnsi="Calibri" w:cs="Calibri"/>
          <w:b/>
          <w:lang w:eastAsia="es-MX"/>
        </w:rPr>
      </w:pPr>
    </w:p>
    <w:p w:rsidR="00BF482E" w:rsidRDefault="000D00BF" w:rsidP="00BF482E">
      <w:pPr>
        <w:spacing w:after="0" w:line="240" w:lineRule="auto"/>
        <w:jc w:val="both"/>
        <w:rPr>
          <w:rFonts w:ascii="Calibri" w:eastAsia="Times New Roman" w:hAnsi="Calibri" w:cs="Calibri"/>
          <w:b/>
          <w:lang w:eastAsia="es-MX"/>
        </w:rPr>
      </w:pPr>
      <w:r>
        <w:rPr>
          <w:rFonts w:ascii="Calibri" w:eastAsia="Times New Roman" w:hAnsi="Calibri" w:cs="Calibri"/>
          <w:b/>
          <w:lang w:eastAsia="es-MX"/>
        </w:rPr>
        <w:t xml:space="preserve">Mismo </w:t>
      </w:r>
      <w:r w:rsidR="00BF482E" w:rsidRPr="0098664B">
        <w:rPr>
          <w:rFonts w:ascii="Calibri" w:eastAsia="Times New Roman" w:hAnsi="Calibri" w:cs="Calibri"/>
          <w:b/>
          <w:lang w:eastAsia="es-MX"/>
        </w:rPr>
        <w:t xml:space="preserve">hipervínculo </w:t>
      </w:r>
      <w:r>
        <w:rPr>
          <w:rFonts w:ascii="Calibri" w:eastAsia="Times New Roman" w:hAnsi="Calibri" w:cs="Calibri"/>
          <w:b/>
          <w:lang w:eastAsia="es-MX"/>
        </w:rPr>
        <w:t>agregar</w:t>
      </w:r>
      <w:r w:rsidR="00BF482E" w:rsidRPr="0098664B">
        <w:rPr>
          <w:rFonts w:ascii="Calibri" w:eastAsia="Times New Roman" w:hAnsi="Calibri" w:cs="Calibri"/>
          <w:b/>
          <w:lang w:eastAsia="es-MX"/>
        </w:rPr>
        <w:t xml:space="preserve"> </w:t>
      </w:r>
      <w:r w:rsidR="00BF482E">
        <w:rPr>
          <w:rFonts w:ascii="Calibri" w:eastAsia="Times New Roman" w:hAnsi="Calibri" w:cs="Calibri"/>
          <w:b/>
          <w:lang w:eastAsia="es-MX"/>
        </w:rPr>
        <w:t>la información que a continuación se transcribe:</w:t>
      </w:r>
    </w:p>
    <w:p w:rsidR="00BF482E" w:rsidRDefault="00BF482E" w:rsidP="00BF482E">
      <w:pPr>
        <w:spacing w:after="0" w:line="240" w:lineRule="auto"/>
        <w:jc w:val="both"/>
        <w:rPr>
          <w:rFonts w:ascii="Calibri" w:eastAsia="Times New Roman" w:hAnsi="Calibri" w:cs="Calibri"/>
          <w:b/>
          <w:lang w:eastAsia="es-MX"/>
        </w:rPr>
      </w:pPr>
    </w:p>
    <w:tbl>
      <w:tblPr>
        <w:tblW w:w="8336" w:type="dxa"/>
        <w:jc w:val="center"/>
        <w:tblCellMar>
          <w:left w:w="70" w:type="dxa"/>
          <w:right w:w="70" w:type="dxa"/>
        </w:tblCellMar>
        <w:tblLook w:val="04A0"/>
      </w:tblPr>
      <w:tblGrid>
        <w:gridCol w:w="4445"/>
        <w:gridCol w:w="1970"/>
        <w:gridCol w:w="1921"/>
      </w:tblGrid>
      <w:tr w:rsidR="000D00BF" w:rsidRPr="00BF482E" w:rsidTr="000D00BF">
        <w:trPr>
          <w:trHeight w:val="300"/>
          <w:jc w:val="center"/>
        </w:trPr>
        <w:tc>
          <w:tcPr>
            <w:tcW w:w="4445" w:type="dxa"/>
            <w:tcBorders>
              <w:top w:val="nil"/>
              <w:left w:val="nil"/>
              <w:bottom w:val="nil"/>
              <w:right w:val="nil"/>
            </w:tcBorders>
            <w:shd w:val="clear" w:color="auto" w:fill="auto"/>
            <w:noWrap/>
            <w:hideMark/>
          </w:tcPr>
          <w:p w:rsidR="000D00BF" w:rsidRPr="000D00BF" w:rsidRDefault="000D00BF" w:rsidP="000D00BF">
            <w:pPr>
              <w:spacing w:after="0" w:line="240" w:lineRule="auto"/>
              <w:jc w:val="center"/>
              <w:rPr>
                <w:rFonts w:eastAsia="Times New Roman" w:cstheme="minorHAnsi"/>
                <w:b/>
                <w:sz w:val="16"/>
                <w:szCs w:val="16"/>
                <w:lang w:eastAsia="es-MX"/>
              </w:rPr>
            </w:pPr>
            <w:r w:rsidRPr="000D00BF">
              <w:rPr>
                <w:rFonts w:eastAsia="Times New Roman" w:cstheme="minorHAnsi"/>
                <w:b/>
                <w:sz w:val="16"/>
                <w:szCs w:val="16"/>
                <w:lang w:eastAsia="es-MX"/>
              </w:rPr>
              <w:t>Dependencia</w:t>
            </w:r>
          </w:p>
          <w:p w:rsidR="000D00BF" w:rsidRPr="000D00BF" w:rsidRDefault="000D00BF" w:rsidP="00BF482E">
            <w:pPr>
              <w:spacing w:after="0" w:line="240" w:lineRule="auto"/>
              <w:rPr>
                <w:rFonts w:eastAsia="Times New Roman" w:cstheme="minorHAnsi"/>
                <w:b/>
                <w:color w:val="000000"/>
                <w:sz w:val="16"/>
                <w:szCs w:val="16"/>
                <w:lang w:eastAsia="es-MX"/>
              </w:rPr>
            </w:pPr>
          </w:p>
          <w:p w:rsidR="000D00BF" w:rsidRPr="000D00BF" w:rsidRDefault="000D00BF" w:rsidP="00BF482E">
            <w:pPr>
              <w:spacing w:after="0" w:line="240" w:lineRule="auto"/>
              <w:rPr>
                <w:rFonts w:eastAsia="Times New Roman" w:cstheme="minorHAnsi"/>
                <w:b/>
                <w:color w:val="000000"/>
                <w:sz w:val="16"/>
                <w:szCs w:val="16"/>
                <w:lang w:eastAsia="es-MX"/>
              </w:rPr>
            </w:pPr>
            <w:r w:rsidRPr="000D00BF">
              <w:rPr>
                <w:rFonts w:eastAsia="Times New Roman" w:cstheme="minorHAnsi"/>
                <w:b/>
                <w:color w:val="000000"/>
                <w:sz w:val="16"/>
                <w:szCs w:val="16"/>
                <w:lang w:eastAsia="es-MX"/>
              </w:rPr>
              <w:t>Dirección de Atención Ciudadana</w:t>
            </w:r>
          </w:p>
          <w:p w:rsidR="000D00BF" w:rsidRPr="00BF482E" w:rsidRDefault="000D00BF" w:rsidP="00BF482E">
            <w:pPr>
              <w:spacing w:after="0" w:line="240" w:lineRule="auto"/>
              <w:rPr>
                <w:rFonts w:eastAsia="Times New Roman" w:cstheme="minorHAnsi"/>
                <w:color w:val="000000"/>
                <w:sz w:val="16"/>
                <w:szCs w:val="16"/>
                <w:lang w:eastAsia="es-MX"/>
              </w:rPr>
            </w:pPr>
            <w:r w:rsidRPr="00BF482E">
              <w:rPr>
                <w:rFonts w:eastAsia="Times New Roman" w:cstheme="minorHAnsi"/>
                <w:color w:val="000000"/>
                <w:sz w:val="16"/>
                <w:szCs w:val="16"/>
                <w:lang w:eastAsia="es-MX"/>
              </w:rPr>
              <w:t>Atención ciudadana</w:t>
            </w:r>
          </w:p>
        </w:tc>
        <w:tc>
          <w:tcPr>
            <w:tcW w:w="1970" w:type="dxa"/>
            <w:tcBorders>
              <w:top w:val="nil"/>
              <w:left w:val="nil"/>
              <w:bottom w:val="nil"/>
              <w:right w:val="nil"/>
            </w:tcBorders>
            <w:shd w:val="clear" w:color="auto" w:fill="auto"/>
            <w:noWrap/>
            <w:hideMark/>
          </w:tcPr>
          <w:p w:rsidR="000D00BF" w:rsidRPr="000D00BF" w:rsidRDefault="000D00BF" w:rsidP="000D00BF">
            <w:pPr>
              <w:spacing w:after="0" w:line="240" w:lineRule="auto"/>
              <w:jc w:val="center"/>
              <w:rPr>
                <w:rFonts w:eastAsia="Times New Roman" w:cstheme="minorHAnsi"/>
                <w:b/>
                <w:color w:val="000000"/>
                <w:sz w:val="16"/>
                <w:szCs w:val="16"/>
                <w:lang w:eastAsia="es-MX"/>
              </w:rPr>
            </w:pPr>
            <w:r w:rsidRPr="000D00BF">
              <w:rPr>
                <w:rFonts w:eastAsia="Times New Roman" w:cstheme="minorHAnsi"/>
                <w:b/>
                <w:color w:val="000000"/>
                <w:sz w:val="16"/>
                <w:szCs w:val="16"/>
                <w:lang w:eastAsia="es-MX"/>
              </w:rPr>
              <w:t>Indicador/Gestión</w:t>
            </w:r>
          </w:p>
          <w:p w:rsidR="000D00BF" w:rsidRPr="000D00BF" w:rsidRDefault="000D00BF" w:rsidP="00BF482E">
            <w:pPr>
              <w:spacing w:after="0" w:line="240" w:lineRule="auto"/>
              <w:rPr>
                <w:rFonts w:eastAsia="Times New Roman" w:cstheme="minorHAnsi"/>
                <w:color w:val="000000"/>
                <w:sz w:val="16"/>
                <w:szCs w:val="16"/>
                <w:lang w:eastAsia="es-MX"/>
              </w:rPr>
            </w:pPr>
          </w:p>
          <w:p w:rsidR="000D00BF" w:rsidRPr="000D00BF" w:rsidRDefault="000D00BF" w:rsidP="000D00BF">
            <w:pPr>
              <w:spacing w:after="0" w:line="240" w:lineRule="auto"/>
              <w:jc w:val="both"/>
              <w:rPr>
                <w:rFonts w:eastAsia="Times New Roman" w:cstheme="minorHAnsi"/>
                <w:color w:val="000000"/>
                <w:sz w:val="16"/>
                <w:szCs w:val="16"/>
                <w:lang w:eastAsia="es-MX"/>
              </w:rPr>
            </w:pPr>
            <w:r w:rsidRPr="00BF482E">
              <w:rPr>
                <w:rFonts w:eastAsia="Times New Roman" w:cstheme="minorHAnsi"/>
                <w:color w:val="000000"/>
                <w:sz w:val="16"/>
                <w:szCs w:val="16"/>
                <w:lang w:eastAsia="es-MX"/>
              </w:rPr>
              <w:t xml:space="preserve">Acercar la acción del gobierno municipal a la ciudadanía para hacerla </w:t>
            </w:r>
            <w:r w:rsidRPr="000D00BF">
              <w:rPr>
                <w:rFonts w:eastAsia="Times New Roman" w:cstheme="minorHAnsi"/>
                <w:color w:val="000000"/>
                <w:sz w:val="16"/>
                <w:szCs w:val="16"/>
                <w:lang w:eastAsia="es-MX"/>
              </w:rPr>
              <w:t>más</w:t>
            </w:r>
            <w:r w:rsidRPr="00BF482E">
              <w:rPr>
                <w:rFonts w:eastAsia="Times New Roman" w:cstheme="minorHAnsi"/>
                <w:color w:val="000000"/>
                <w:sz w:val="16"/>
                <w:szCs w:val="16"/>
                <w:lang w:eastAsia="es-MX"/>
              </w:rPr>
              <w:t xml:space="preserve"> efectiva</w:t>
            </w:r>
            <w:r w:rsidRPr="000D00BF">
              <w:rPr>
                <w:rFonts w:eastAsia="Times New Roman" w:cstheme="minorHAnsi"/>
                <w:color w:val="000000"/>
                <w:sz w:val="16"/>
                <w:szCs w:val="16"/>
                <w:lang w:eastAsia="es-MX"/>
              </w:rPr>
              <w:t>.</w:t>
            </w:r>
          </w:p>
          <w:p w:rsidR="000D00BF" w:rsidRPr="00BF482E" w:rsidRDefault="000D00BF" w:rsidP="000D00BF">
            <w:pPr>
              <w:spacing w:after="0" w:line="240" w:lineRule="auto"/>
              <w:rPr>
                <w:rFonts w:eastAsia="Times New Roman" w:cstheme="minorHAnsi"/>
                <w:color w:val="000000"/>
                <w:sz w:val="16"/>
                <w:szCs w:val="16"/>
                <w:lang w:eastAsia="es-MX"/>
              </w:rPr>
            </w:pPr>
          </w:p>
        </w:tc>
        <w:tc>
          <w:tcPr>
            <w:tcW w:w="1921" w:type="dxa"/>
            <w:tcBorders>
              <w:top w:val="nil"/>
              <w:left w:val="nil"/>
              <w:bottom w:val="nil"/>
              <w:right w:val="nil"/>
            </w:tcBorders>
            <w:shd w:val="clear" w:color="auto" w:fill="auto"/>
            <w:noWrap/>
            <w:hideMark/>
          </w:tcPr>
          <w:p w:rsidR="000D00BF" w:rsidRPr="000D00BF" w:rsidRDefault="000D00BF" w:rsidP="000D00BF">
            <w:pPr>
              <w:spacing w:after="0" w:line="240" w:lineRule="auto"/>
              <w:jc w:val="center"/>
              <w:rPr>
                <w:rFonts w:eastAsia="Times New Roman" w:cstheme="minorHAnsi"/>
                <w:b/>
                <w:color w:val="000000"/>
                <w:sz w:val="16"/>
                <w:szCs w:val="16"/>
                <w:lang w:eastAsia="es-MX"/>
              </w:rPr>
            </w:pPr>
            <w:r w:rsidRPr="000D00BF">
              <w:rPr>
                <w:rFonts w:eastAsia="Times New Roman" w:cstheme="minorHAnsi"/>
                <w:b/>
                <w:color w:val="000000"/>
                <w:sz w:val="16"/>
                <w:szCs w:val="16"/>
                <w:lang w:eastAsia="es-MX"/>
              </w:rPr>
              <w:t>Evaluación</w:t>
            </w:r>
          </w:p>
          <w:p w:rsidR="000D00BF" w:rsidRPr="000D00BF" w:rsidRDefault="000D00BF" w:rsidP="00BF482E">
            <w:pPr>
              <w:spacing w:after="0" w:line="240" w:lineRule="auto"/>
              <w:rPr>
                <w:rFonts w:eastAsia="Times New Roman" w:cstheme="minorHAnsi"/>
                <w:color w:val="000000"/>
                <w:sz w:val="16"/>
                <w:szCs w:val="16"/>
                <w:lang w:eastAsia="es-MX"/>
              </w:rPr>
            </w:pPr>
          </w:p>
          <w:p w:rsidR="000D00BF" w:rsidRPr="00BF482E" w:rsidRDefault="000D00BF" w:rsidP="000D00BF">
            <w:pPr>
              <w:spacing w:after="0" w:line="240" w:lineRule="auto"/>
              <w:jc w:val="both"/>
              <w:rPr>
                <w:rFonts w:eastAsia="Times New Roman" w:cstheme="minorHAnsi"/>
                <w:color w:val="000000"/>
                <w:sz w:val="16"/>
                <w:szCs w:val="16"/>
                <w:lang w:eastAsia="es-MX"/>
              </w:rPr>
            </w:pPr>
            <w:r w:rsidRPr="000D00BF">
              <w:rPr>
                <w:rFonts w:eastAsia="Times New Roman" w:cstheme="minorHAnsi"/>
                <w:color w:val="000000"/>
                <w:sz w:val="16"/>
                <w:szCs w:val="16"/>
                <w:lang w:eastAsia="es-MX"/>
              </w:rPr>
              <w:t xml:space="preserve">Son canalizadas el 100% de las </w:t>
            </w:r>
            <w:r w:rsidRPr="00BF482E">
              <w:rPr>
                <w:rFonts w:eastAsia="Times New Roman" w:cstheme="minorHAnsi"/>
                <w:color w:val="000000"/>
                <w:sz w:val="16"/>
                <w:szCs w:val="16"/>
                <w:lang w:eastAsia="es-MX"/>
              </w:rPr>
              <w:t>quejas, peticiones, solicitudes o reportes</w:t>
            </w:r>
            <w:r w:rsidRPr="000D00BF">
              <w:rPr>
                <w:rFonts w:eastAsia="Times New Roman" w:cstheme="minorHAnsi"/>
                <w:color w:val="000000"/>
                <w:sz w:val="16"/>
                <w:szCs w:val="16"/>
                <w:lang w:eastAsia="es-MX"/>
              </w:rPr>
              <w:t xml:space="preserve">. </w:t>
            </w:r>
          </w:p>
        </w:tc>
      </w:tr>
      <w:tr w:rsidR="000D00BF" w:rsidRPr="00BF482E" w:rsidTr="000D00BF">
        <w:trPr>
          <w:trHeight w:val="300"/>
          <w:jc w:val="center"/>
        </w:trPr>
        <w:tc>
          <w:tcPr>
            <w:tcW w:w="4445" w:type="dxa"/>
            <w:tcBorders>
              <w:top w:val="nil"/>
              <w:left w:val="nil"/>
              <w:bottom w:val="nil"/>
              <w:right w:val="nil"/>
            </w:tcBorders>
            <w:shd w:val="clear" w:color="auto" w:fill="auto"/>
            <w:noWrap/>
            <w:hideMark/>
          </w:tcPr>
          <w:p w:rsidR="000D00BF" w:rsidRPr="000D00BF" w:rsidRDefault="000D00BF" w:rsidP="00BF482E">
            <w:pPr>
              <w:spacing w:after="0" w:line="240" w:lineRule="auto"/>
              <w:rPr>
                <w:rFonts w:eastAsia="Times New Roman" w:cstheme="minorHAnsi"/>
                <w:b/>
                <w:color w:val="000000"/>
                <w:sz w:val="16"/>
                <w:szCs w:val="16"/>
                <w:lang w:eastAsia="es-MX"/>
              </w:rPr>
            </w:pPr>
            <w:r w:rsidRPr="000D00BF">
              <w:rPr>
                <w:rFonts w:eastAsia="Times New Roman" w:cstheme="minorHAnsi"/>
                <w:b/>
                <w:color w:val="000000"/>
                <w:sz w:val="16"/>
                <w:szCs w:val="16"/>
                <w:lang w:eastAsia="es-MX"/>
              </w:rPr>
              <w:t>Dirección de Espectáculos y Alcoholes</w:t>
            </w:r>
          </w:p>
          <w:p w:rsidR="000D00BF" w:rsidRPr="00BF482E" w:rsidRDefault="000D00BF" w:rsidP="00BF482E">
            <w:pPr>
              <w:spacing w:after="0" w:line="240" w:lineRule="auto"/>
              <w:rPr>
                <w:rFonts w:eastAsia="Times New Roman" w:cstheme="minorHAnsi"/>
                <w:color w:val="000000"/>
                <w:sz w:val="16"/>
                <w:szCs w:val="16"/>
                <w:lang w:eastAsia="es-MX"/>
              </w:rPr>
            </w:pPr>
            <w:r w:rsidRPr="00BF482E">
              <w:rPr>
                <w:rFonts w:eastAsia="Times New Roman" w:cstheme="minorHAnsi"/>
                <w:color w:val="000000"/>
                <w:sz w:val="16"/>
                <w:szCs w:val="16"/>
                <w:lang w:eastAsia="es-MX"/>
              </w:rPr>
              <w:t xml:space="preserve">Hacer consciencia a los jóvenes de las consecuencias en el abuso en el consumo del alcohol  </w:t>
            </w:r>
          </w:p>
        </w:tc>
        <w:tc>
          <w:tcPr>
            <w:tcW w:w="1970" w:type="dxa"/>
            <w:tcBorders>
              <w:top w:val="nil"/>
              <w:left w:val="nil"/>
              <w:bottom w:val="nil"/>
              <w:right w:val="nil"/>
            </w:tcBorders>
            <w:shd w:val="clear" w:color="auto" w:fill="auto"/>
            <w:noWrap/>
            <w:hideMark/>
          </w:tcPr>
          <w:p w:rsidR="000D00BF" w:rsidRPr="00BF482E" w:rsidRDefault="000D00BF" w:rsidP="000D00BF">
            <w:pPr>
              <w:spacing w:after="0" w:line="240" w:lineRule="auto"/>
              <w:jc w:val="both"/>
              <w:rPr>
                <w:rFonts w:eastAsia="Times New Roman" w:cstheme="minorHAnsi"/>
                <w:color w:val="000000"/>
                <w:sz w:val="16"/>
                <w:szCs w:val="16"/>
                <w:lang w:eastAsia="es-MX"/>
              </w:rPr>
            </w:pPr>
            <w:r>
              <w:rPr>
                <w:rFonts w:eastAsia="Times New Roman" w:cstheme="minorHAnsi"/>
                <w:color w:val="000000"/>
                <w:sz w:val="16"/>
                <w:szCs w:val="16"/>
                <w:lang w:eastAsia="es-MX"/>
              </w:rPr>
              <w:t xml:space="preserve">Se tienen programadas la impartición de 20 </w:t>
            </w:r>
            <w:r w:rsidRPr="00BF482E">
              <w:rPr>
                <w:rFonts w:eastAsia="Times New Roman" w:cstheme="minorHAnsi"/>
                <w:color w:val="000000"/>
                <w:sz w:val="16"/>
                <w:szCs w:val="16"/>
                <w:lang w:eastAsia="es-MX"/>
              </w:rPr>
              <w:t>pláticas sobre las consecuen</w:t>
            </w:r>
            <w:r w:rsidRPr="000D00BF">
              <w:rPr>
                <w:rFonts w:eastAsia="Times New Roman" w:cstheme="minorHAnsi"/>
                <w:color w:val="000000"/>
                <w:sz w:val="16"/>
                <w:szCs w:val="16"/>
                <w:lang w:eastAsia="es-MX"/>
              </w:rPr>
              <w:t>cias en el consumo del alcohol</w:t>
            </w:r>
            <w:r>
              <w:rPr>
                <w:rFonts w:eastAsia="Times New Roman" w:cstheme="minorHAnsi"/>
                <w:color w:val="000000"/>
                <w:sz w:val="16"/>
                <w:szCs w:val="16"/>
                <w:lang w:eastAsia="es-MX"/>
              </w:rPr>
              <w:t>.</w:t>
            </w:r>
            <w:r w:rsidRPr="00BF482E">
              <w:rPr>
                <w:rFonts w:eastAsia="Times New Roman" w:cstheme="minorHAnsi"/>
                <w:color w:val="000000"/>
                <w:sz w:val="16"/>
                <w:szCs w:val="16"/>
                <w:lang w:eastAsia="es-MX"/>
              </w:rPr>
              <w:t xml:space="preserve"> </w:t>
            </w:r>
          </w:p>
        </w:tc>
        <w:tc>
          <w:tcPr>
            <w:tcW w:w="1921" w:type="dxa"/>
            <w:tcBorders>
              <w:top w:val="nil"/>
              <w:left w:val="nil"/>
              <w:bottom w:val="nil"/>
              <w:right w:val="nil"/>
            </w:tcBorders>
            <w:shd w:val="clear" w:color="auto" w:fill="auto"/>
            <w:noWrap/>
            <w:hideMark/>
          </w:tcPr>
          <w:p w:rsidR="00D11C83" w:rsidRDefault="000D00BF" w:rsidP="00B0496A">
            <w:pPr>
              <w:spacing w:after="0" w:line="240" w:lineRule="auto"/>
              <w:jc w:val="both"/>
              <w:rPr>
                <w:rFonts w:eastAsia="Times New Roman" w:cstheme="minorHAnsi"/>
                <w:color w:val="000000"/>
                <w:sz w:val="16"/>
                <w:szCs w:val="16"/>
                <w:lang w:eastAsia="es-MX"/>
              </w:rPr>
            </w:pPr>
            <w:r>
              <w:rPr>
                <w:rFonts w:eastAsia="Times New Roman" w:cstheme="minorHAnsi"/>
                <w:color w:val="000000"/>
                <w:sz w:val="16"/>
                <w:szCs w:val="16"/>
                <w:lang w:eastAsia="es-MX"/>
              </w:rPr>
              <w:t xml:space="preserve">Se imparte el total de las pláticas, logrando una asistencia de aproximadamente </w:t>
            </w:r>
            <w:r w:rsidR="00D11C83">
              <w:rPr>
                <w:rFonts w:eastAsia="Times New Roman" w:cstheme="minorHAnsi"/>
                <w:color w:val="000000"/>
                <w:sz w:val="16"/>
                <w:szCs w:val="16"/>
                <w:lang w:eastAsia="es-MX"/>
              </w:rPr>
              <w:t xml:space="preserve">250 personas </w:t>
            </w:r>
          </w:p>
          <w:p w:rsidR="000D00BF" w:rsidRDefault="000D00BF" w:rsidP="00B0496A">
            <w:pPr>
              <w:spacing w:after="0" w:line="240" w:lineRule="auto"/>
              <w:jc w:val="both"/>
              <w:rPr>
                <w:rFonts w:eastAsia="Times New Roman" w:cstheme="minorHAnsi"/>
                <w:color w:val="000000"/>
                <w:sz w:val="16"/>
                <w:szCs w:val="16"/>
                <w:lang w:eastAsia="es-MX"/>
              </w:rPr>
            </w:pPr>
          </w:p>
          <w:p w:rsidR="00B0496A" w:rsidRPr="00BF482E" w:rsidRDefault="00B0496A" w:rsidP="00B0496A">
            <w:pPr>
              <w:spacing w:after="0" w:line="240" w:lineRule="auto"/>
              <w:rPr>
                <w:rFonts w:eastAsia="Times New Roman" w:cstheme="minorHAnsi"/>
                <w:color w:val="000000"/>
                <w:sz w:val="16"/>
                <w:szCs w:val="16"/>
                <w:lang w:eastAsia="es-MX"/>
              </w:rPr>
            </w:pPr>
          </w:p>
        </w:tc>
      </w:tr>
      <w:tr w:rsidR="000D00BF" w:rsidRPr="00BF482E" w:rsidTr="000D00BF">
        <w:trPr>
          <w:trHeight w:val="300"/>
          <w:jc w:val="center"/>
        </w:trPr>
        <w:tc>
          <w:tcPr>
            <w:tcW w:w="4445" w:type="dxa"/>
            <w:tcBorders>
              <w:top w:val="nil"/>
              <w:left w:val="nil"/>
              <w:bottom w:val="nil"/>
              <w:right w:val="nil"/>
            </w:tcBorders>
            <w:shd w:val="clear" w:color="auto" w:fill="auto"/>
            <w:noWrap/>
            <w:hideMark/>
          </w:tcPr>
          <w:p w:rsidR="000D00BF" w:rsidRPr="000D00BF" w:rsidRDefault="000D00BF" w:rsidP="00BF482E">
            <w:pPr>
              <w:spacing w:after="0" w:line="240" w:lineRule="auto"/>
              <w:rPr>
                <w:rFonts w:eastAsia="Times New Roman" w:cstheme="minorHAnsi"/>
                <w:b/>
                <w:color w:val="000000"/>
                <w:sz w:val="16"/>
                <w:szCs w:val="16"/>
                <w:lang w:eastAsia="es-MX"/>
              </w:rPr>
            </w:pPr>
            <w:r w:rsidRPr="000D00BF">
              <w:rPr>
                <w:rFonts w:eastAsia="Times New Roman" w:cstheme="minorHAnsi"/>
                <w:b/>
                <w:color w:val="000000"/>
                <w:sz w:val="16"/>
                <w:szCs w:val="16"/>
                <w:lang w:eastAsia="es-MX"/>
              </w:rPr>
              <w:t>Centro de Mediación</w:t>
            </w:r>
          </w:p>
          <w:p w:rsidR="000D00BF" w:rsidRPr="00BF482E" w:rsidRDefault="000D00BF" w:rsidP="00B0496A">
            <w:pPr>
              <w:spacing w:after="0" w:line="240" w:lineRule="auto"/>
              <w:jc w:val="both"/>
              <w:rPr>
                <w:rFonts w:eastAsia="Times New Roman" w:cstheme="minorHAnsi"/>
                <w:color w:val="000000"/>
                <w:sz w:val="16"/>
                <w:szCs w:val="16"/>
                <w:lang w:eastAsia="es-MX"/>
              </w:rPr>
            </w:pPr>
            <w:r w:rsidRPr="00BF482E">
              <w:rPr>
                <w:rFonts w:eastAsia="Times New Roman" w:cstheme="minorHAnsi"/>
                <w:color w:val="000000"/>
                <w:sz w:val="16"/>
                <w:szCs w:val="16"/>
                <w:lang w:eastAsia="es-MX"/>
              </w:rPr>
              <w:t>Brindar y facilitar los métodos alternos para la solución de conflictos, con el objetivo de mediar y resolver las controversias que aquejen a los ciudadanos del municipio, y que sean susceptibles a dirimirse mediante el método alterno; además de difundir la cultura de los métodos alternos para la solución de conflictos.</w:t>
            </w:r>
          </w:p>
        </w:tc>
        <w:tc>
          <w:tcPr>
            <w:tcW w:w="1970" w:type="dxa"/>
            <w:tcBorders>
              <w:top w:val="nil"/>
              <w:left w:val="nil"/>
              <w:bottom w:val="nil"/>
              <w:right w:val="nil"/>
            </w:tcBorders>
            <w:shd w:val="clear" w:color="auto" w:fill="auto"/>
            <w:noWrap/>
            <w:hideMark/>
          </w:tcPr>
          <w:p w:rsidR="000D00BF" w:rsidRPr="00BF482E" w:rsidRDefault="00B0496A" w:rsidP="00B0496A">
            <w:pPr>
              <w:spacing w:after="0" w:line="240" w:lineRule="auto"/>
              <w:jc w:val="both"/>
              <w:rPr>
                <w:rFonts w:eastAsia="Times New Roman" w:cstheme="minorHAnsi"/>
                <w:color w:val="000000"/>
                <w:sz w:val="16"/>
                <w:szCs w:val="16"/>
                <w:lang w:eastAsia="es-MX"/>
              </w:rPr>
            </w:pPr>
            <w:r>
              <w:rPr>
                <w:rFonts w:eastAsia="Times New Roman" w:cstheme="minorHAnsi"/>
                <w:color w:val="000000"/>
                <w:sz w:val="16"/>
                <w:szCs w:val="16"/>
                <w:lang w:eastAsia="es-MX"/>
              </w:rPr>
              <w:t>Se pretende l</w:t>
            </w:r>
            <w:r w:rsidR="000D00BF" w:rsidRPr="00BF482E">
              <w:rPr>
                <w:rFonts w:eastAsia="Times New Roman" w:cstheme="minorHAnsi"/>
                <w:color w:val="000000"/>
                <w:sz w:val="16"/>
                <w:szCs w:val="16"/>
                <w:lang w:eastAsia="es-MX"/>
              </w:rPr>
              <w:t xml:space="preserve">ograr que el 100 % de las solicitudes presentadas y atendidas se solucionen en el mismo Centro de Mediación con acuerdos o convenios </w:t>
            </w:r>
          </w:p>
        </w:tc>
        <w:tc>
          <w:tcPr>
            <w:tcW w:w="1921" w:type="dxa"/>
            <w:tcBorders>
              <w:top w:val="nil"/>
              <w:left w:val="nil"/>
              <w:bottom w:val="nil"/>
              <w:right w:val="nil"/>
            </w:tcBorders>
            <w:shd w:val="clear" w:color="auto" w:fill="auto"/>
            <w:noWrap/>
            <w:hideMark/>
          </w:tcPr>
          <w:p w:rsidR="000D00BF" w:rsidRPr="00BF482E" w:rsidRDefault="002C7F04" w:rsidP="002C7F04">
            <w:pPr>
              <w:spacing w:after="0" w:line="240" w:lineRule="auto"/>
              <w:jc w:val="both"/>
              <w:rPr>
                <w:rFonts w:eastAsia="Times New Roman" w:cstheme="minorHAnsi"/>
                <w:color w:val="000000"/>
                <w:sz w:val="16"/>
                <w:szCs w:val="16"/>
                <w:lang w:eastAsia="es-MX"/>
              </w:rPr>
            </w:pPr>
            <w:r>
              <w:rPr>
                <w:rFonts w:eastAsia="Times New Roman" w:cstheme="minorHAnsi"/>
                <w:color w:val="000000"/>
                <w:sz w:val="16"/>
                <w:szCs w:val="16"/>
                <w:lang w:eastAsia="es-MX"/>
              </w:rPr>
              <w:t xml:space="preserve">70% </w:t>
            </w:r>
            <w:bookmarkStart w:id="0" w:name="_GoBack"/>
            <w:bookmarkEnd w:id="0"/>
          </w:p>
        </w:tc>
      </w:tr>
    </w:tbl>
    <w:p w:rsidR="00BF482E" w:rsidRPr="00915A48" w:rsidRDefault="00BF482E" w:rsidP="00BF482E">
      <w:pPr>
        <w:spacing w:after="0" w:line="240" w:lineRule="auto"/>
        <w:jc w:val="both"/>
        <w:rPr>
          <w:rFonts w:ascii="Calibri" w:eastAsia="Times New Roman" w:hAnsi="Calibri" w:cs="Calibri"/>
          <w:color w:val="0563C1"/>
          <w:u w:val="single"/>
          <w:lang w:eastAsia="es-MX"/>
        </w:rPr>
      </w:pPr>
    </w:p>
    <w:p w:rsidR="00BF482E" w:rsidRDefault="00BF482E" w:rsidP="00915A48">
      <w:pPr>
        <w:spacing w:after="0" w:line="240" w:lineRule="auto"/>
        <w:rPr>
          <w:rFonts w:ascii="Calibri" w:eastAsia="Times New Roman" w:hAnsi="Calibri" w:cs="Calibri"/>
          <w:color w:val="0563C1"/>
          <w:u w:val="single"/>
          <w:lang w:eastAsia="es-MX"/>
        </w:rPr>
      </w:pPr>
    </w:p>
    <w:p w:rsidR="00BF482E" w:rsidRDefault="00BF482E" w:rsidP="00915A48">
      <w:pPr>
        <w:spacing w:after="0" w:line="240" w:lineRule="auto"/>
        <w:rPr>
          <w:rFonts w:ascii="Calibri" w:eastAsia="Times New Roman" w:hAnsi="Calibri" w:cs="Calibri"/>
          <w:color w:val="0563C1"/>
          <w:u w:val="single"/>
          <w:lang w:eastAsia="es-MX"/>
        </w:rPr>
      </w:pPr>
    </w:p>
    <w:p w:rsidR="00B0496A" w:rsidRDefault="00B0496A" w:rsidP="00915A48">
      <w:pPr>
        <w:spacing w:after="0" w:line="240" w:lineRule="auto"/>
        <w:rPr>
          <w:rFonts w:ascii="Calibri" w:eastAsia="Times New Roman" w:hAnsi="Calibri" w:cs="Calibri"/>
          <w:color w:val="0563C1"/>
          <w:u w:val="single"/>
          <w:lang w:eastAsia="es-MX"/>
        </w:rPr>
      </w:pPr>
    </w:p>
    <w:p w:rsidR="00B0496A" w:rsidRDefault="00B0496A" w:rsidP="00915A48">
      <w:pPr>
        <w:spacing w:after="0" w:line="240" w:lineRule="auto"/>
        <w:rPr>
          <w:rFonts w:ascii="Calibri" w:eastAsia="Times New Roman" w:hAnsi="Calibri" w:cs="Calibri"/>
          <w:color w:val="0563C1"/>
          <w:u w:val="single"/>
          <w:lang w:eastAsia="es-MX"/>
        </w:rPr>
      </w:pPr>
    </w:p>
    <w:p w:rsidR="00B0496A" w:rsidRDefault="00B0496A" w:rsidP="00915A48">
      <w:pPr>
        <w:spacing w:after="0" w:line="240" w:lineRule="auto"/>
        <w:rPr>
          <w:rFonts w:ascii="Calibri" w:eastAsia="Times New Roman" w:hAnsi="Calibri" w:cs="Calibri"/>
          <w:color w:val="0563C1"/>
          <w:u w:val="single"/>
          <w:lang w:eastAsia="es-MX"/>
        </w:rPr>
      </w:pPr>
    </w:p>
    <w:p w:rsidR="00B0496A" w:rsidRDefault="00B0496A" w:rsidP="00915A48">
      <w:pPr>
        <w:spacing w:after="0" w:line="240" w:lineRule="auto"/>
        <w:rPr>
          <w:rFonts w:ascii="Calibri" w:eastAsia="Times New Roman" w:hAnsi="Calibri" w:cs="Calibri"/>
          <w:color w:val="0563C1"/>
          <w:u w:val="single"/>
          <w:lang w:eastAsia="es-MX"/>
        </w:rPr>
      </w:pPr>
    </w:p>
    <w:p w:rsidR="00B0496A" w:rsidRDefault="00B0496A" w:rsidP="00915A48">
      <w:pPr>
        <w:spacing w:after="0" w:line="240" w:lineRule="auto"/>
        <w:rPr>
          <w:rFonts w:ascii="Calibri" w:eastAsia="Times New Roman" w:hAnsi="Calibri" w:cs="Calibri"/>
          <w:color w:val="0563C1"/>
          <w:u w:val="single"/>
          <w:lang w:eastAsia="es-MX"/>
        </w:rPr>
      </w:pPr>
    </w:p>
    <w:p w:rsidR="00B0496A" w:rsidRDefault="00B0496A" w:rsidP="00915A48">
      <w:pPr>
        <w:spacing w:after="0" w:line="240" w:lineRule="auto"/>
        <w:rPr>
          <w:rFonts w:ascii="Calibri" w:eastAsia="Times New Roman" w:hAnsi="Calibri" w:cs="Calibri"/>
          <w:color w:val="0563C1"/>
          <w:u w:val="single"/>
          <w:lang w:eastAsia="es-MX"/>
        </w:rPr>
      </w:pPr>
    </w:p>
    <w:p w:rsidR="00B0496A" w:rsidRDefault="00B0496A" w:rsidP="00915A48">
      <w:pPr>
        <w:spacing w:after="0" w:line="240" w:lineRule="auto"/>
        <w:rPr>
          <w:rFonts w:ascii="Calibri" w:eastAsia="Times New Roman" w:hAnsi="Calibri" w:cs="Calibri"/>
          <w:color w:val="0563C1"/>
          <w:u w:val="single"/>
          <w:lang w:eastAsia="es-MX"/>
        </w:rPr>
      </w:pPr>
    </w:p>
    <w:p w:rsidR="00B0496A" w:rsidRDefault="00B0496A" w:rsidP="00915A48">
      <w:pPr>
        <w:spacing w:after="0" w:line="240" w:lineRule="auto"/>
        <w:rPr>
          <w:rFonts w:ascii="Calibri" w:eastAsia="Times New Roman" w:hAnsi="Calibri" w:cs="Calibri"/>
          <w:color w:val="0563C1"/>
          <w:u w:val="single"/>
          <w:lang w:eastAsia="es-MX"/>
        </w:rPr>
      </w:pPr>
    </w:p>
    <w:p w:rsidR="00B0496A" w:rsidRDefault="00B0496A" w:rsidP="00915A48">
      <w:pPr>
        <w:spacing w:after="0" w:line="240" w:lineRule="auto"/>
        <w:rPr>
          <w:rFonts w:ascii="Calibri" w:eastAsia="Times New Roman" w:hAnsi="Calibri" w:cs="Calibri"/>
          <w:color w:val="0563C1"/>
          <w:u w:val="single"/>
          <w:lang w:eastAsia="es-MX"/>
        </w:rPr>
      </w:pPr>
    </w:p>
    <w:p w:rsidR="00B0496A" w:rsidRDefault="00B0496A" w:rsidP="00915A48">
      <w:pPr>
        <w:spacing w:after="0" w:line="240" w:lineRule="auto"/>
        <w:rPr>
          <w:rFonts w:ascii="Calibri" w:eastAsia="Times New Roman" w:hAnsi="Calibri" w:cs="Calibri"/>
          <w:color w:val="0563C1"/>
          <w:u w:val="single"/>
          <w:lang w:eastAsia="es-MX"/>
        </w:rPr>
      </w:pPr>
    </w:p>
    <w:p w:rsidR="00B0496A" w:rsidRDefault="00B0496A" w:rsidP="00915A48">
      <w:pPr>
        <w:spacing w:after="0" w:line="240" w:lineRule="auto"/>
        <w:rPr>
          <w:rFonts w:ascii="Calibri" w:eastAsia="Times New Roman" w:hAnsi="Calibri" w:cs="Calibri"/>
          <w:color w:val="0563C1"/>
          <w:u w:val="single"/>
          <w:lang w:eastAsia="es-MX"/>
        </w:rPr>
      </w:pPr>
    </w:p>
    <w:p w:rsidR="00B0496A" w:rsidRDefault="00B0496A" w:rsidP="00915A48">
      <w:pPr>
        <w:spacing w:after="0" w:line="240" w:lineRule="auto"/>
        <w:rPr>
          <w:rFonts w:ascii="Calibri" w:eastAsia="Times New Roman" w:hAnsi="Calibri" w:cs="Calibri"/>
          <w:color w:val="0563C1"/>
          <w:u w:val="single"/>
          <w:lang w:eastAsia="es-MX"/>
        </w:rPr>
      </w:pPr>
    </w:p>
    <w:p w:rsidR="00B0496A" w:rsidRDefault="00B0496A" w:rsidP="00915A48">
      <w:pPr>
        <w:spacing w:after="0" w:line="240" w:lineRule="auto"/>
        <w:rPr>
          <w:rFonts w:ascii="Calibri" w:eastAsia="Times New Roman" w:hAnsi="Calibri" w:cs="Calibri"/>
          <w:color w:val="0563C1"/>
          <w:u w:val="single"/>
          <w:lang w:eastAsia="es-MX"/>
        </w:rPr>
      </w:pPr>
    </w:p>
    <w:p w:rsidR="00B0496A" w:rsidRDefault="00B0496A" w:rsidP="00915A48">
      <w:pPr>
        <w:spacing w:after="0" w:line="240" w:lineRule="auto"/>
        <w:rPr>
          <w:rFonts w:ascii="Calibri" w:eastAsia="Times New Roman" w:hAnsi="Calibri" w:cs="Calibri"/>
          <w:color w:val="0563C1"/>
          <w:u w:val="single"/>
          <w:lang w:eastAsia="es-MX"/>
        </w:rPr>
      </w:pPr>
    </w:p>
    <w:p w:rsidR="00B0496A" w:rsidRDefault="00B0496A" w:rsidP="00915A48">
      <w:pPr>
        <w:spacing w:after="0" w:line="240" w:lineRule="auto"/>
        <w:rPr>
          <w:rFonts w:ascii="Calibri" w:eastAsia="Times New Roman" w:hAnsi="Calibri" w:cs="Calibri"/>
          <w:color w:val="0563C1"/>
          <w:u w:val="single"/>
          <w:lang w:eastAsia="es-MX"/>
        </w:rPr>
      </w:pPr>
    </w:p>
    <w:p w:rsidR="00B0496A" w:rsidRDefault="00B0496A" w:rsidP="00915A48">
      <w:pPr>
        <w:spacing w:after="0" w:line="240" w:lineRule="auto"/>
        <w:rPr>
          <w:rFonts w:ascii="Calibri" w:eastAsia="Times New Roman" w:hAnsi="Calibri" w:cs="Calibri"/>
          <w:color w:val="0563C1"/>
          <w:u w:val="single"/>
          <w:lang w:eastAsia="es-MX"/>
        </w:rPr>
      </w:pPr>
    </w:p>
    <w:p w:rsidR="00B0496A" w:rsidRDefault="00B0496A" w:rsidP="00915A48">
      <w:pPr>
        <w:spacing w:after="0" w:line="240" w:lineRule="auto"/>
        <w:rPr>
          <w:rFonts w:ascii="Calibri" w:eastAsia="Times New Roman" w:hAnsi="Calibri" w:cs="Calibri"/>
          <w:color w:val="0563C1"/>
          <w:u w:val="single"/>
          <w:lang w:eastAsia="es-MX"/>
        </w:rPr>
      </w:pPr>
    </w:p>
    <w:p w:rsidR="00B0496A" w:rsidRDefault="00B0496A" w:rsidP="00915A48">
      <w:pPr>
        <w:spacing w:after="0" w:line="240" w:lineRule="auto"/>
        <w:rPr>
          <w:rFonts w:ascii="Arial" w:eastAsia="Times New Roman" w:hAnsi="Arial" w:cs="Arial"/>
          <w:color w:val="000000"/>
          <w:sz w:val="20"/>
          <w:szCs w:val="20"/>
          <w:lang w:eastAsia="es-MX"/>
        </w:rPr>
      </w:pPr>
    </w:p>
    <w:p w:rsidR="00BF482E" w:rsidRDefault="00BF482E" w:rsidP="00915A48">
      <w:pPr>
        <w:spacing w:after="0" w:line="240" w:lineRule="auto"/>
        <w:rPr>
          <w:rFonts w:ascii="Arial" w:eastAsia="Times New Roman" w:hAnsi="Arial" w:cs="Arial"/>
          <w:b/>
          <w:sz w:val="20"/>
          <w:szCs w:val="20"/>
          <w:lang w:eastAsia="es-MX"/>
        </w:rPr>
      </w:pPr>
    </w:p>
    <w:p w:rsidR="00BF482E" w:rsidRDefault="00BF482E" w:rsidP="00915A48">
      <w:pPr>
        <w:spacing w:after="0" w:line="240" w:lineRule="auto"/>
        <w:rPr>
          <w:rFonts w:ascii="Arial" w:eastAsia="Times New Roman" w:hAnsi="Arial" w:cs="Arial"/>
          <w:b/>
          <w:sz w:val="20"/>
          <w:szCs w:val="20"/>
          <w:lang w:eastAsia="es-MX"/>
        </w:rPr>
      </w:pPr>
    </w:p>
    <w:tbl>
      <w:tblPr>
        <w:tblStyle w:val="Tablaconcuadrcula"/>
        <w:tblW w:w="0" w:type="auto"/>
        <w:shd w:val="clear" w:color="auto" w:fill="FFFF00"/>
        <w:tblLook w:val="04A0"/>
      </w:tblPr>
      <w:tblGrid>
        <w:gridCol w:w="9962"/>
      </w:tblGrid>
      <w:tr w:rsidR="00BF482E" w:rsidTr="00BF482E">
        <w:tc>
          <w:tcPr>
            <w:tcW w:w="9962" w:type="dxa"/>
            <w:shd w:val="clear" w:color="auto" w:fill="FFFF00"/>
          </w:tcPr>
          <w:p w:rsidR="00BF482E" w:rsidRDefault="00BF482E" w:rsidP="00BF482E">
            <w:pPr>
              <w:rPr>
                <w:rFonts w:ascii="Arial" w:eastAsia="Times New Roman" w:hAnsi="Arial" w:cs="Arial"/>
                <w:b/>
                <w:sz w:val="20"/>
                <w:szCs w:val="20"/>
                <w:lang w:eastAsia="es-MX"/>
              </w:rPr>
            </w:pPr>
          </w:p>
          <w:p w:rsidR="00BF482E" w:rsidRDefault="00BF482E" w:rsidP="00BF482E">
            <w:pPr>
              <w:jc w:val="center"/>
              <w:rPr>
                <w:rFonts w:ascii="Arial" w:eastAsia="Times New Roman" w:hAnsi="Arial" w:cs="Arial"/>
                <w:b/>
                <w:sz w:val="20"/>
                <w:szCs w:val="20"/>
                <w:lang w:eastAsia="es-MX"/>
              </w:rPr>
            </w:pPr>
            <w:r w:rsidRPr="0098664B">
              <w:rPr>
                <w:rFonts w:ascii="Arial" w:eastAsia="Times New Roman" w:hAnsi="Arial" w:cs="Arial"/>
                <w:b/>
                <w:sz w:val="20"/>
                <w:szCs w:val="20"/>
                <w:lang w:eastAsia="es-MX"/>
              </w:rPr>
              <w:t>Información relativa a los hipervínculos del formato NLA95FXXI</w:t>
            </w:r>
          </w:p>
          <w:p w:rsidR="00BF482E" w:rsidRPr="0098664B" w:rsidRDefault="00BF482E" w:rsidP="00BF482E">
            <w:pPr>
              <w:jc w:val="center"/>
              <w:rPr>
                <w:rFonts w:ascii="Arial" w:eastAsia="Times New Roman" w:hAnsi="Arial" w:cs="Arial"/>
                <w:b/>
                <w:sz w:val="20"/>
                <w:szCs w:val="20"/>
                <w:lang w:eastAsia="es-MX"/>
              </w:rPr>
            </w:pPr>
            <w:r>
              <w:rPr>
                <w:rFonts w:ascii="Arial" w:eastAsia="Times New Roman" w:hAnsi="Arial" w:cs="Arial"/>
                <w:b/>
                <w:sz w:val="20"/>
                <w:szCs w:val="20"/>
                <w:lang w:eastAsia="es-MX"/>
              </w:rPr>
              <w:t>TRÁMITES QUE SE REALIZAN</w:t>
            </w:r>
          </w:p>
          <w:p w:rsidR="00BF482E" w:rsidRDefault="00BF482E" w:rsidP="00915A48">
            <w:pPr>
              <w:rPr>
                <w:rFonts w:ascii="Arial" w:eastAsia="Times New Roman" w:hAnsi="Arial" w:cs="Arial"/>
                <w:b/>
                <w:sz w:val="20"/>
                <w:szCs w:val="20"/>
                <w:lang w:eastAsia="es-MX"/>
              </w:rPr>
            </w:pPr>
          </w:p>
        </w:tc>
      </w:tr>
    </w:tbl>
    <w:p w:rsidR="00BF482E" w:rsidRDefault="00BF482E" w:rsidP="00915A48">
      <w:pPr>
        <w:spacing w:after="0" w:line="240" w:lineRule="auto"/>
        <w:rPr>
          <w:rFonts w:ascii="Arial" w:eastAsia="Times New Roman" w:hAnsi="Arial" w:cs="Arial"/>
          <w:b/>
          <w:sz w:val="20"/>
          <w:szCs w:val="20"/>
          <w:lang w:eastAsia="es-MX"/>
        </w:rPr>
      </w:pPr>
    </w:p>
    <w:p w:rsidR="0098664B" w:rsidRDefault="0098664B" w:rsidP="00915A48">
      <w:pPr>
        <w:spacing w:after="0" w:line="240" w:lineRule="auto"/>
        <w:rPr>
          <w:rFonts w:ascii="Arial" w:eastAsia="Times New Roman" w:hAnsi="Arial" w:cs="Arial"/>
          <w:color w:val="000000"/>
          <w:sz w:val="20"/>
          <w:szCs w:val="20"/>
          <w:lang w:eastAsia="es-MX"/>
        </w:rPr>
      </w:pPr>
    </w:p>
    <w:p w:rsidR="00915A48" w:rsidRDefault="00915A48" w:rsidP="0098664B">
      <w:pPr>
        <w:spacing w:after="0" w:line="240" w:lineRule="auto"/>
        <w:jc w:val="both"/>
        <w:rPr>
          <w:rFonts w:ascii="Arial" w:eastAsia="Times New Roman" w:hAnsi="Arial" w:cs="Arial"/>
          <w:color w:val="000000"/>
          <w:sz w:val="20"/>
          <w:szCs w:val="20"/>
          <w:lang w:eastAsia="es-MX"/>
        </w:rPr>
      </w:pPr>
      <w:r w:rsidRPr="00915A48">
        <w:rPr>
          <w:rFonts w:ascii="Arial" w:eastAsia="Times New Roman" w:hAnsi="Arial" w:cs="Arial"/>
          <w:color w:val="000000"/>
          <w:sz w:val="20"/>
          <w:szCs w:val="20"/>
          <w:lang w:eastAsia="es-MX"/>
        </w:rPr>
        <w:t>Hipervínculo al/los formatos respectivos</w:t>
      </w:r>
    </w:p>
    <w:p w:rsidR="00BF482E" w:rsidRDefault="00CA2506" w:rsidP="00BF482E">
      <w:pPr>
        <w:spacing w:after="0" w:line="240" w:lineRule="auto"/>
        <w:jc w:val="both"/>
        <w:rPr>
          <w:rFonts w:ascii="Calibri" w:eastAsia="Times New Roman" w:hAnsi="Calibri" w:cs="Calibri"/>
          <w:color w:val="0563C1"/>
          <w:lang w:eastAsia="es-MX"/>
        </w:rPr>
      </w:pPr>
      <w:hyperlink r:id="rId6" w:history="1">
        <w:r w:rsidR="00915A48" w:rsidRPr="0098664B">
          <w:rPr>
            <w:rFonts w:ascii="Calibri" w:eastAsia="Times New Roman" w:hAnsi="Calibri" w:cs="Calibri"/>
            <w:color w:val="0563C1"/>
            <w:lang w:eastAsia="es-MX"/>
          </w:rPr>
          <w:t>http://juarez-nl.gob.mx/articulo-10/articulo-10-i-3</w:t>
        </w:r>
      </w:hyperlink>
      <w:r w:rsidR="0098664B" w:rsidRPr="0098664B">
        <w:rPr>
          <w:rFonts w:ascii="Calibri" w:eastAsia="Times New Roman" w:hAnsi="Calibri" w:cs="Calibri"/>
          <w:color w:val="0563C1"/>
          <w:lang w:eastAsia="es-MX"/>
        </w:rPr>
        <w:t xml:space="preserve">  </w:t>
      </w:r>
    </w:p>
    <w:p w:rsidR="00915A48" w:rsidRPr="0098664B" w:rsidRDefault="0098664B" w:rsidP="00BF482E">
      <w:pPr>
        <w:spacing w:after="0" w:line="240" w:lineRule="auto"/>
        <w:jc w:val="both"/>
        <w:rPr>
          <w:b/>
          <w:sz w:val="16"/>
          <w:szCs w:val="16"/>
        </w:rPr>
      </w:pPr>
      <w:r w:rsidRPr="0098664B">
        <w:rPr>
          <w:rFonts w:ascii="Calibri" w:eastAsia="Times New Roman" w:hAnsi="Calibri" w:cs="Calibri"/>
          <w:b/>
          <w:lang w:eastAsia="es-MX"/>
        </w:rPr>
        <w:t>En éste hipervínculo se agrega el formato de la solicitud</w:t>
      </w:r>
      <w:r>
        <w:rPr>
          <w:rFonts w:ascii="Calibri" w:eastAsia="Times New Roman" w:hAnsi="Calibri" w:cs="Calibri"/>
          <w:lang w:eastAsia="es-MX"/>
        </w:rPr>
        <w:t xml:space="preserve"> </w:t>
      </w:r>
      <w:r w:rsidRPr="0098664B">
        <w:rPr>
          <w:rFonts w:ascii="Calibri" w:eastAsia="Times New Roman" w:hAnsi="Calibri" w:cs="Calibri"/>
          <w:b/>
          <w:lang w:eastAsia="es-MX"/>
        </w:rPr>
        <w:t>de revalidación.</w:t>
      </w:r>
    </w:p>
    <w:p w:rsidR="00915A48" w:rsidRDefault="00915A48" w:rsidP="00915A48">
      <w:pPr>
        <w:spacing w:after="0" w:line="240" w:lineRule="auto"/>
        <w:jc w:val="center"/>
        <w:rPr>
          <w:rFonts w:ascii="Arial" w:eastAsia="Times New Roman" w:hAnsi="Arial" w:cs="Arial"/>
          <w:color w:val="000000"/>
          <w:sz w:val="20"/>
          <w:szCs w:val="20"/>
          <w:lang w:eastAsia="es-MX"/>
        </w:rPr>
      </w:pPr>
    </w:p>
    <w:p w:rsidR="00915A48" w:rsidRPr="00915A48" w:rsidRDefault="00915A48" w:rsidP="0098664B">
      <w:pPr>
        <w:spacing w:after="0" w:line="240" w:lineRule="auto"/>
        <w:jc w:val="both"/>
        <w:rPr>
          <w:rFonts w:ascii="Arial" w:eastAsia="Times New Roman" w:hAnsi="Arial" w:cs="Arial"/>
          <w:color w:val="000000"/>
          <w:sz w:val="20"/>
          <w:szCs w:val="20"/>
          <w:lang w:eastAsia="es-MX"/>
        </w:rPr>
      </w:pPr>
      <w:r w:rsidRPr="00915A48">
        <w:rPr>
          <w:rFonts w:ascii="Arial" w:eastAsia="Times New Roman" w:hAnsi="Arial" w:cs="Arial"/>
          <w:color w:val="000000"/>
          <w:sz w:val="20"/>
          <w:szCs w:val="20"/>
          <w:lang w:eastAsia="es-MX"/>
        </w:rPr>
        <w:t>Hipervínculo información adicional del trámite</w:t>
      </w:r>
    </w:p>
    <w:p w:rsidR="00BF482E" w:rsidRDefault="00CA2506" w:rsidP="0098664B">
      <w:pPr>
        <w:spacing w:after="0" w:line="240" w:lineRule="auto"/>
        <w:jc w:val="both"/>
        <w:rPr>
          <w:rFonts w:ascii="Calibri" w:eastAsia="Times New Roman" w:hAnsi="Calibri" w:cs="Calibri"/>
          <w:b/>
          <w:lang w:eastAsia="es-MX"/>
        </w:rPr>
      </w:pPr>
      <w:hyperlink r:id="rId7" w:history="1">
        <w:r w:rsidR="00915A48" w:rsidRPr="00915A48">
          <w:rPr>
            <w:rFonts w:ascii="Calibri" w:eastAsia="Times New Roman" w:hAnsi="Calibri" w:cs="Calibri"/>
            <w:color w:val="0563C1"/>
            <w:u w:val="single"/>
            <w:lang w:eastAsia="es-MX"/>
          </w:rPr>
          <w:t>http://juarez-nl.gob.mx/articulo-10/articulo-10-i-3</w:t>
        </w:r>
      </w:hyperlink>
      <w:r w:rsidR="0098664B" w:rsidRPr="0098664B">
        <w:rPr>
          <w:rFonts w:ascii="Calibri" w:eastAsia="Times New Roman" w:hAnsi="Calibri" w:cs="Calibri"/>
          <w:b/>
          <w:lang w:eastAsia="es-MX"/>
        </w:rPr>
        <w:t xml:space="preserve"> </w:t>
      </w:r>
    </w:p>
    <w:p w:rsidR="0098664B" w:rsidRPr="00915A48" w:rsidRDefault="0098664B" w:rsidP="0098664B">
      <w:pPr>
        <w:spacing w:after="0" w:line="240" w:lineRule="auto"/>
        <w:jc w:val="both"/>
        <w:rPr>
          <w:rFonts w:ascii="Calibri" w:eastAsia="Times New Roman" w:hAnsi="Calibri" w:cs="Calibri"/>
          <w:color w:val="0563C1"/>
          <w:u w:val="single"/>
          <w:lang w:eastAsia="es-MX"/>
        </w:rPr>
      </w:pPr>
      <w:r w:rsidRPr="0098664B">
        <w:rPr>
          <w:rFonts w:ascii="Calibri" w:eastAsia="Times New Roman" w:hAnsi="Calibri" w:cs="Calibri"/>
          <w:b/>
          <w:lang w:eastAsia="es-MX"/>
        </w:rPr>
        <w:t xml:space="preserve">En éste hipervínculo se agrega </w:t>
      </w:r>
      <w:r>
        <w:rPr>
          <w:rFonts w:ascii="Calibri" w:eastAsia="Times New Roman" w:hAnsi="Calibri" w:cs="Calibri"/>
          <w:b/>
          <w:lang w:eastAsia="es-MX"/>
        </w:rPr>
        <w:t>el artículo que a continuación se transcribe:</w:t>
      </w:r>
    </w:p>
    <w:p w:rsidR="00915A48" w:rsidRDefault="00915A48" w:rsidP="00F56352">
      <w:pPr>
        <w:keepNext/>
        <w:autoSpaceDE w:val="0"/>
        <w:autoSpaceDN w:val="0"/>
        <w:adjustRightInd w:val="0"/>
        <w:spacing w:after="0" w:line="240" w:lineRule="auto"/>
        <w:jc w:val="center"/>
        <w:rPr>
          <w:rFonts w:ascii="Arial" w:hAnsi="Arial" w:cs="Arial"/>
          <w:b/>
          <w:bCs/>
          <w:sz w:val="18"/>
          <w:szCs w:val="18"/>
          <w:lang/>
        </w:rPr>
      </w:pPr>
    </w:p>
    <w:p w:rsidR="00F56352" w:rsidRPr="00B0496A" w:rsidRDefault="00131EA1" w:rsidP="00F56352">
      <w:pPr>
        <w:keepNext/>
        <w:autoSpaceDE w:val="0"/>
        <w:autoSpaceDN w:val="0"/>
        <w:adjustRightInd w:val="0"/>
        <w:spacing w:after="0" w:line="240" w:lineRule="auto"/>
        <w:jc w:val="center"/>
        <w:rPr>
          <w:rFonts w:ascii="Arial" w:hAnsi="Arial" w:cs="Arial"/>
          <w:bCs/>
          <w:i/>
          <w:sz w:val="18"/>
          <w:szCs w:val="18"/>
          <w:lang/>
        </w:rPr>
      </w:pPr>
      <w:r w:rsidRPr="00B0496A">
        <w:rPr>
          <w:rFonts w:ascii="Arial" w:hAnsi="Arial" w:cs="Arial"/>
          <w:i/>
          <w:sz w:val="16"/>
          <w:szCs w:val="16"/>
          <w:lang/>
        </w:rPr>
        <w:t xml:space="preserve">ARTÍCULO 58 Bis. </w:t>
      </w:r>
      <w:proofErr w:type="gramStart"/>
      <w:r w:rsidRPr="00B0496A">
        <w:rPr>
          <w:rFonts w:ascii="Arial" w:hAnsi="Arial" w:cs="Arial"/>
          <w:i/>
          <w:sz w:val="16"/>
          <w:szCs w:val="16"/>
          <w:lang/>
        </w:rPr>
        <w:t>de</w:t>
      </w:r>
      <w:proofErr w:type="gramEnd"/>
      <w:r w:rsidRPr="00B0496A">
        <w:rPr>
          <w:rFonts w:ascii="Arial" w:hAnsi="Arial" w:cs="Arial"/>
          <w:i/>
          <w:sz w:val="16"/>
          <w:szCs w:val="16"/>
          <w:lang/>
        </w:rPr>
        <w:t xml:space="preserve"> la </w:t>
      </w:r>
      <w:r w:rsidRPr="00B0496A">
        <w:rPr>
          <w:rFonts w:ascii="Arial" w:hAnsi="Arial" w:cs="Arial"/>
          <w:bCs/>
          <w:i/>
          <w:sz w:val="18"/>
          <w:szCs w:val="18"/>
          <w:lang/>
        </w:rPr>
        <w:t>Ley de Hacienda para los Municipios del Estado de Nuevo León</w:t>
      </w:r>
    </w:p>
    <w:p w:rsidR="00F56352" w:rsidRPr="00B0496A" w:rsidRDefault="00F56352" w:rsidP="00F56352">
      <w:pPr>
        <w:keepNext/>
        <w:autoSpaceDE w:val="0"/>
        <w:autoSpaceDN w:val="0"/>
        <w:adjustRightInd w:val="0"/>
        <w:spacing w:after="0" w:line="240" w:lineRule="auto"/>
        <w:jc w:val="both"/>
        <w:rPr>
          <w:rFonts w:ascii="Arial" w:hAnsi="Arial" w:cs="Arial"/>
          <w:b/>
          <w:bCs/>
          <w:i/>
          <w:sz w:val="18"/>
          <w:szCs w:val="18"/>
          <w:lang/>
        </w:rPr>
      </w:pPr>
    </w:p>
    <w:p w:rsidR="00F56352" w:rsidRPr="00B0496A" w:rsidRDefault="00F56352" w:rsidP="00F56352">
      <w:pPr>
        <w:autoSpaceDE w:val="0"/>
        <w:autoSpaceDN w:val="0"/>
        <w:adjustRightInd w:val="0"/>
        <w:spacing w:after="0" w:line="240" w:lineRule="auto"/>
        <w:ind w:right="51"/>
        <w:jc w:val="both"/>
        <w:rPr>
          <w:rFonts w:ascii="Arial" w:hAnsi="Arial" w:cs="Arial"/>
          <w:i/>
          <w:sz w:val="16"/>
          <w:szCs w:val="16"/>
          <w:lang/>
        </w:rPr>
      </w:pPr>
      <w:r w:rsidRPr="00B0496A">
        <w:rPr>
          <w:rFonts w:ascii="Arial" w:hAnsi="Arial" w:cs="Arial"/>
          <w:i/>
          <w:sz w:val="16"/>
          <w:szCs w:val="16"/>
          <w:lang/>
        </w:rPr>
        <w:t>ARTÍCULO 58 Bis.- Por la emisión de la anuencia municipal y en su caso, por revalidación anual de la anuencia municipal, en los términos previstos en la Ley para la Prevención y Combate al Abuso del Alcohol y de Regulación para su Venta y Consumo del Estado de Nuevo León, se cubrirán las siguientes cuotas en los municipios de Apodaca, Cadereyta Jiménez, General Escobedo, García, Guadalupe, Juárez, Monterrey, San Nicolás de los Garza, San Pedro Garza García, Santa Catarina y Santiago:</w:t>
      </w:r>
    </w:p>
    <w:p w:rsidR="00F56352" w:rsidRPr="00B0496A" w:rsidRDefault="00F56352" w:rsidP="00F56352">
      <w:pPr>
        <w:autoSpaceDE w:val="0"/>
        <w:autoSpaceDN w:val="0"/>
        <w:adjustRightInd w:val="0"/>
        <w:spacing w:after="0" w:line="240" w:lineRule="auto"/>
        <w:ind w:right="51"/>
        <w:jc w:val="both"/>
        <w:rPr>
          <w:rFonts w:ascii="Arial" w:hAnsi="Arial" w:cs="Arial"/>
          <w:i/>
          <w:sz w:val="16"/>
          <w:szCs w:val="16"/>
          <w:lang/>
        </w:rPr>
      </w:pP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A) Licencias y autorizaciones de cambio de giro o domicilio:</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tabs>
          <w:tab w:val="left" w:pos="1985"/>
        </w:tabs>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1.- Estadios de futbol y beisbol, arenas de box, lucha libre, plazas de toros y en general todo lugar donde se realicen actividades deportivas, con capacidad de hasta 15,000 personas, 1,500 cuotas, con capacidad de más de 15,000 personas y hasta 25,000 personas, 2,700 cuotas y con capacidad de más de 25,000 personas, 4,900 cuotas;</w:t>
      </w:r>
    </w:p>
    <w:p w:rsidR="00F56352" w:rsidRPr="00B0496A" w:rsidRDefault="00F56352" w:rsidP="00F56352">
      <w:pPr>
        <w:tabs>
          <w:tab w:val="left" w:pos="1985"/>
        </w:tabs>
        <w:autoSpaceDE w:val="0"/>
        <w:autoSpaceDN w:val="0"/>
        <w:adjustRightInd w:val="0"/>
        <w:spacing w:after="0" w:line="240" w:lineRule="auto"/>
        <w:ind w:right="-1"/>
        <w:jc w:val="both"/>
        <w:rPr>
          <w:rFonts w:ascii="Arial" w:hAnsi="Arial" w:cs="Arial"/>
          <w:i/>
          <w:sz w:val="16"/>
          <w:szCs w:val="16"/>
          <w:highlight w:val="white"/>
          <w:lang/>
        </w:rPr>
      </w:pP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tabs>
          <w:tab w:val="left" w:pos="1985"/>
        </w:tabs>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2.- Cabarets, centros nocturnos, discotecas, casas y establecimientos de apuestas, lugares públicos de reunión con variedad artística y similares, con un área de atención al público no mayor de 120 metros cuadrados, 3,346 cuotas y con superficie de atención al público mayor a 120 metros cuadrados, 3,955 cuotas;</w:t>
      </w:r>
    </w:p>
    <w:p w:rsidR="00F56352" w:rsidRPr="00B0496A" w:rsidRDefault="00F56352" w:rsidP="00F56352">
      <w:pPr>
        <w:tabs>
          <w:tab w:val="left" w:pos="1985"/>
        </w:tabs>
        <w:autoSpaceDE w:val="0"/>
        <w:autoSpaceDN w:val="0"/>
        <w:adjustRightInd w:val="0"/>
        <w:spacing w:after="0" w:line="240" w:lineRule="auto"/>
        <w:ind w:right="-1"/>
        <w:jc w:val="both"/>
        <w:rPr>
          <w:rFonts w:ascii="Arial" w:hAnsi="Arial" w:cs="Arial"/>
          <w:i/>
          <w:sz w:val="16"/>
          <w:szCs w:val="16"/>
          <w:highlight w:val="white"/>
          <w:lang/>
        </w:rPr>
      </w:pP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tabs>
          <w:tab w:val="left" w:pos="1985"/>
        </w:tabs>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3.- Rodeos con capacidad de hasta 1,500 personas, 1,883 cuotas y con capacidad mayor d</w:t>
      </w:r>
      <w:r w:rsidR="00131EA1" w:rsidRPr="00B0496A">
        <w:rPr>
          <w:rFonts w:ascii="Arial" w:hAnsi="Arial" w:cs="Arial"/>
          <w:i/>
          <w:sz w:val="16"/>
          <w:szCs w:val="16"/>
          <w:highlight w:val="white"/>
          <w:lang/>
        </w:rPr>
        <w:t>e 1,500 personas, 3,500 cuotas;</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131EA1" w:rsidRPr="00B0496A" w:rsidRDefault="00131EA1" w:rsidP="00F56352">
      <w:pPr>
        <w:autoSpaceDE w:val="0"/>
        <w:autoSpaceDN w:val="0"/>
        <w:adjustRightInd w:val="0"/>
        <w:spacing w:after="0" w:line="240" w:lineRule="auto"/>
        <w:rPr>
          <w:rFonts w:ascii="Arial" w:hAnsi="Arial" w:cs="Arial"/>
          <w:i/>
          <w:iCs/>
          <w:sz w:val="16"/>
          <w:szCs w:val="16"/>
          <w:lang/>
        </w:rPr>
      </w:pPr>
    </w:p>
    <w:p w:rsidR="00F56352" w:rsidRPr="00B0496A" w:rsidRDefault="00F56352" w:rsidP="00F56352">
      <w:pPr>
        <w:tabs>
          <w:tab w:val="left" w:pos="1985"/>
        </w:tabs>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4.- Hoteles y moteles de paso, con servicio de bar y</w:t>
      </w:r>
      <w:r w:rsidR="00131EA1" w:rsidRPr="00B0496A">
        <w:rPr>
          <w:rFonts w:ascii="Arial" w:hAnsi="Arial" w:cs="Arial"/>
          <w:i/>
          <w:sz w:val="16"/>
          <w:szCs w:val="16"/>
          <w:highlight w:val="white"/>
          <w:lang/>
        </w:rPr>
        <w:t xml:space="preserve"> restaurante-bar, 2,100 cuotas;</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131EA1" w:rsidRPr="00B0496A" w:rsidRDefault="00131EA1" w:rsidP="00F56352">
      <w:pPr>
        <w:autoSpaceDE w:val="0"/>
        <w:autoSpaceDN w:val="0"/>
        <w:adjustRightInd w:val="0"/>
        <w:spacing w:after="0" w:line="240" w:lineRule="auto"/>
        <w:rPr>
          <w:rFonts w:ascii="Arial" w:hAnsi="Arial" w:cs="Arial"/>
          <w:i/>
          <w:iCs/>
          <w:sz w:val="16"/>
          <w:szCs w:val="16"/>
          <w:lang/>
        </w:rPr>
      </w:pPr>
    </w:p>
    <w:p w:rsidR="00F56352" w:rsidRPr="00B0496A" w:rsidRDefault="00131EA1" w:rsidP="00F56352">
      <w:pPr>
        <w:tabs>
          <w:tab w:val="left" w:pos="1985"/>
        </w:tabs>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5.- En botella cerrada:</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 xml:space="preserve">a) Abarrotes con venta de cerveza, con un área de exposición al público, no mayor de </w:t>
      </w:r>
      <w:r w:rsidR="00131EA1" w:rsidRPr="00B0496A">
        <w:rPr>
          <w:rFonts w:ascii="Arial" w:hAnsi="Arial" w:cs="Arial"/>
          <w:i/>
          <w:sz w:val="16"/>
          <w:szCs w:val="16"/>
          <w:highlight w:val="white"/>
          <w:lang/>
        </w:rPr>
        <w:t>50 metros cuadrados, 21 cuotas;</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 xml:space="preserve">b) Abarrotes con venta de cerveza, vinos y licores con un área de exposición al público no mayor de </w:t>
      </w:r>
      <w:r w:rsidR="00131EA1" w:rsidRPr="00B0496A">
        <w:rPr>
          <w:rFonts w:ascii="Arial" w:hAnsi="Arial" w:cs="Arial"/>
          <w:i/>
          <w:sz w:val="16"/>
          <w:szCs w:val="16"/>
          <w:highlight w:val="white"/>
          <w:lang/>
        </w:rPr>
        <w:t>50 metros cuadrados, 42 cuotas;</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c) Depósitos con venta de cerveza, incluyendo los que tien</w:t>
      </w:r>
      <w:r w:rsidR="00131EA1" w:rsidRPr="00B0496A">
        <w:rPr>
          <w:rFonts w:ascii="Arial" w:hAnsi="Arial" w:cs="Arial"/>
          <w:i/>
          <w:sz w:val="16"/>
          <w:szCs w:val="16"/>
          <w:highlight w:val="white"/>
          <w:lang/>
        </w:rPr>
        <w:t>en servicio de auto, 56 cuotas;</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d) Depósitos con venta de cerveza, vinos y licores, incluyendo los que tienen servicio de auto, 112 cuotas;</w:t>
      </w:r>
    </w:p>
    <w:p w:rsidR="00F56352" w:rsidRPr="00B0496A" w:rsidRDefault="00131EA1"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 xml:space="preserve"> </w:t>
      </w:r>
      <w:r w:rsidR="00F56352" w:rsidRPr="00B0496A">
        <w:rPr>
          <w:rFonts w:ascii="Arial" w:hAnsi="Arial" w:cs="Arial"/>
          <w:i/>
          <w:iCs/>
          <w:sz w:val="16"/>
          <w:szCs w:val="16"/>
          <w:lang/>
        </w:rPr>
        <w:t>(REFORMADO, P.O. 30 DE DICIEMBRE DE 2016)</w:t>
      </w:r>
    </w:p>
    <w:p w:rsidR="00F56352" w:rsidRPr="00B0496A" w:rsidRDefault="00131EA1"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e) Licorerías, 112 cuotas;</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 xml:space="preserve">f) </w:t>
      </w:r>
      <w:proofErr w:type="spellStart"/>
      <w:r w:rsidRPr="00B0496A">
        <w:rPr>
          <w:rFonts w:ascii="Arial" w:hAnsi="Arial" w:cs="Arial"/>
          <w:i/>
          <w:sz w:val="16"/>
          <w:szCs w:val="16"/>
          <w:highlight w:val="white"/>
          <w:lang/>
        </w:rPr>
        <w:t>Minisuper</w:t>
      </w:r>
      <w:proofErr w:type="spellEnd"/>
      <w:r w:rsidRPr="00B0496A">
        <w:rPr>
          <w:rFonts w:ascii="Arial" w:hAnsi="Arial" w:cs="Arial"/>
          <w:i/>
          <w:sz w:val="16"/>
          <w:szCs w:val="16"/>
          <w:highlight w:val="white"/>
          <w:lang/>
        </w:rPr>
        <w:t xml:space="preserve"> y tiendas de conveniencia con un área de exposición al público no mayor a 1</w:t>
      </w:r>
      <w:r w:rsidR="00131EA1" w:rsidRPr="00B0496A">
        <w:rPr>
          <w:rFonts w:ascii="Arial" w:hAnsi="Arial" w:cs="Arial"/>
          <w:i/>
          <w:sz w:val="16"/>
          <w:szCs w:val="16"/>
          <w:highlight w:val="white"/>
          <w:lang/>
        </w:rPr>
        <w:t>20 metros cuadrados, 84 cuotas;</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 xml:space="preserve">g) </w:t>
      </w:r>
      <w:proofErr w:type="spellStart"/>
      <w:r w:rsidRPr="00B0496A">
        <w:rPr>
          <w:rFonts w:ascii="Arial" w:hAnsi="Arial" w:cs="Arial"/>
          <w:i/>
          <w:sz w:val="16"/>
          <w:szCs w:val="16"/>
          <w:highlight w:val="white"/>
          <w:lang/>
        </w:rPr>
        <w:t>Minisuper</w:t>
      </w:r>
      <w:proofErr w:type="spellEnd"/>
      <w:r w:rsidRPr="00B0496A">
        <w:rPr>
          <w:rFonts w:ascii="Arial" w:hAnsi="Arial" w:cs="Arial"/>
          <w:i/>
          <w:sz w:val="16"/>
          <w:szCs w:val="16"/>
          <w:highlight w:val="white"/>
          <w:lang/>
        </w:rPr>
        <w:t xml:space="preserve"> y tiendas de conveniencia con un área de exposición al público mayor a 120 metros cuadrado</w:t>
      </w:r>
      <w:r w:rsidR="00131EA1" w:rsidRPr="00B0496A">
        <w:rPr>
          <w:rFonts w:ascii="Arial" w:hAnsi="Arial" w:cs="Arial"/>
          <w:i/>
          <w:sz w:val="16"/>
          <w:szCs w:val="16"/>
          <w:highlight w:val="white"/>
          <w:lang/>
        </w:rPr>
        <w:t>s, 189 cuotas;</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h) Tiendas de autoservicio con un área de exposición al público mayor a 12</w:t>
      </w:r>
      <w:r w:rsidR="00131EA1" w:rsidRPr="00B0496A">
        <w:rPr>
          <w:rFonts w:ascii="Arial" w:hAnsi="Arial" w:cs="Arial"/>
          <w:i/>
          <w:sz w:val="16"/>
          <w:szCs w:val="16"/>
          <w:highlight w:val="white"/>
          <w:lang/>
        </w:rPr>
        <w:t>0 metros cuadrados, 266 cuotas;</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i) Tiendas de autoservicio departamentales con un área de exposición al público mayor a 12</w:t>
      </w:r>
      <w:r w:rsidR="00131EA1" w:rsidRPr="00B0496A">
        <w:rPr>
          <w:rFonts w:ascii="Arial" w:hAnsi="Arial" w:cs="Arial"/>
          <w:i/>
          <w:sz w:val="16"/>
          <w:szCs w:val="16"/>
          <w:highlight w:val="white"/>
          <w:lang/>
        </w:rPr>
        <w:t>0 metros cuadrados, 532 cuotas;</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 xml:space="preserve">j) Establecimientos que expendan al mayoreo y con servicio de distribución, cerveza o bebidas alcohólicas </w:t>
      </w:r>
      <w:r w:rsidR="00131EA1" w:rsidRPr="00B0496A">
        <w:rPr>
          <w:rFonts w:ascii="Arial" w:hAnsi="Arial" w:cs="Arial"/>
          <w:i/>
          <w:sz w:val="16"/>
          <w:szCs w:val="16"/>
          <w:highlight w:val="white"/>
          <w:lang/>
        </w:rPr>
        <w:t>en botella cerrada, 476 cuotas.</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lastRenderedPageBreak/>
        <w:t>k) Establecimientos que expendan o en los que se consuman bebidas alcohólicas</w:t>
      </w:r>
      <w:r w:rsidR="00131EA1" w:rsidRPr="00B0496A">
        <w:rPr>
          <w:rFonts w:ascii="Arial" w:hAnsi="Arial" w:cs="Arial"/>
          <w:i/>
          <w:sz w:val="16"/>
          <w:szCs w:val="16"/>
          <w:highlight w:val="white"/>
          <w:lang/>
        </w:rPr>
        <w:t xml:space="preserve"> en botella abierta o al copeo:</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a) Cervecerías con e</w:t>
      </w:r>
      <w:r w:rsidR="00131EA1" w:rsidRPr="00B0496A">
        <w:rPr>
          <w:rFonts w:ascii="Arial" w:hAnsi="Arial" w:cs="Arial"/>
          <w:i/>
          <w:sz w:val="16"/>
          <w:szCs w:val="16"/>
          <w:highlight w:val="white"/>
          <w:lang/>
        </w:rPr>
        <w:t>xpendio de cerveza, 119 cuotas;</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b) Restaurantes, loncherías, fondas y similares, con e</w:t>
      </w:r>
      <w:r w:rsidR="00131EA1" w:rsidRPr="00B0496A">
        <w:rPr>
          <w:rFonts w:ascii="Arial" w:hAnsi="Arial" w:cs="Arial"/>
          <w:i/>
          <w:sz w:val="16"/>
          <w:szCs w:val="16"/>
          <w:highlight w:val="white"/>
          <w:lang/>
        </w:rPr>
        <w:t>xpendio de cerveza, 119 cuotas;</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c) Billares con e</w:t>
      </w:r>
      <w:r w:rsidR="00131EA1" w:rsidRPr="00B0496A">
        <w:rPr>
          <w:rFonts w:ascii="Arial" w:hAnsi="Arial" w:cs="Arial"/>
          <w:i/>
          <w:sz w:val="16"/>
          <w:szCs w:val="16"/>
          <w:highlight w:val="white"/>
          <w:lang/>
        </w:rPr>
        <w:t>xpendio de cerveza, 119 cuotas;</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d) Billares con expendio de cervez</w:t>
      </w:r>
      <w:r w:rsidR="00131EA1" w:rsidRPr="00B0496A">
        <w:rPr>
          <w:rFonts w:ascii="Arial" w:hAnsi="Arial" w:cs="Arial"/>
          <w:i/>
          <w:sz w:val="16"/>
          <w:szCs w:val="16"/>
          <w:highlight w:val="white"/>
          <w:lang/>
        </w:rPr>
        <w:t>a, vinos y licores, 182 cuotas;</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e) Cantinas o bares, con expendio de cervez</w:t>
      </w:r>
      <w:r w:rsidR="00131EA1" w:rsidRPr="00B0496A">
        <w:rPr>
          <w:rFonts w:ascii="Arial" w:hAnsi="Arial" w:cs="Arial"/>
          <w:i/>
          <w:sz w:val="16"/>
          <w:szCs w:val="16"/>
          <w:highlight w:val="white"/>
          <w:lang/>
        </w:rPr>
        <w:t>a, vinos y licores, 350 cuotas;</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f) Restaurantes-bar, con expendio de cerveza, vinos y licores, con un área de atención al público de hasta 12</w:t>
      </w:r>
      <w:r w:rsidR="00131EA1" w:rsidRPr="00B0496A">
        <w:rPr>
          <w:rFonts w:ascii="Arial" w:hAnsi="Arial" w:cs="Arial"/>
          <w:i/>
          <w:sz w:val="16"/>
          <w:szCs w:val="16"/>
          <w:highlight w:val="white"/>
          <w:lang/>
        </w:rPr>
        <w:t>0 metros cuadrados, 210 cuotas;</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g) Restaurantes-bar, con expendio de cerveza, vinos y licores, con un área de atención al público mayor a 12</w:t>
      </w:r>
      <w:r w:rsidR="00131EA1" w:rsidRPr="00B0496A">
        <w:rPr>
          <w:rFonts w:ascii="Arial" w:hAnsi="Arial" w:cs="Arial"/>
          <w:i/>
          <w:sz w:val="16"/>
          <w:szCs w:val="16"/>
          <w:highlight w:val="white"/>
          <w:lang/>
        </w:rPr>
        <w:t>0 metros cuadrados, 350 cuotas;</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h) Centros o Clubes Sociales, o Deportivos con expendio y consumo de cerveza, vinos y licores, pagarán 1.4 cuota por metro cuadrado de superficie de expendio o consumo. En ningún caso la cantidad a pa</w:t>
      </w:r>
      <w:r w:rsidR="00131EA1" w:rsidRPr="00B0496A">
        <w:rPr>
          <w:rFonts w:ascii="Arial" w:hAnsi="Arial" w:cs="Arial"/>
          <w:i/>
          <w:sz w:val="16"/>
          <w:szCs w:val="16"/>
          <w:highlight w:val="white"/>
          <w:lang/>
        </w:rPr>
        <w:t>gar será inferior a 140 cuotas;</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i) Centros o Clubes Sociales o Deportivos con consumo de cerveza, vinos y licores, pagarán 0.35 cuotas por metro cuadrado de superficie de consumo. En ningún caso la cantidad a p</w:t>
      </w:r>
      <w:r w:rsidR="00131EA1" w:rsidRPr="00B0496A">
        <w:rPr>
          <w:rFonts w:ascii="Arial" w:hAnsi="Arial" w:cs="Arial"/>
          <w:i/>
          <w:sz w:val="16"/>
          <w:szCs w:val="16"/>
          <w:highlight w:val="white"/>
          <w:lang/>
        </w:rPr>
        <w:t>agar será inferior a 70 cuotas;</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j) Hoteles en los que se expendan o consuman cerv</w:t>
      </w:r>
      <w:r w:rsidR="00131EA1" w:rsidRPr="00B0496A">
        <w:rPr>
          <w:rFonts w:ascii="Arial" w:hAnsi="Arial" w:cs="Arial"/>
          <w:i/>
          <w:sz w:val="16"/>
          <w:szCs w:val="16"/>
          <w:highlight w:val="white"/>
          <w:lang/>
        </w:rPr>
        <w:t>ezas, vinos o licores, pagarán:</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Hasta 150 metros cuadrados de Expendio o consumo abierto al público..............................................................................210 cuotas</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Por el excedente de 150 metros, Pagarán por cada metro cuadrado o fracción de expendio o consumo abierto al público......................0.84 cuotas.</w:t>
      </w:r>
    </w:p>
    <w:p w:rsidR="00F56352" w:rsidRPr="00B0496A" w:rsidRDefault="00F56352" w:rsidP="00F56352">
      <w:pPr>
        <w:autoSpaceDE w:val="0"/>
        <w:autoSpaceDN w:val="0"/>
        <w:adjustRightInd w:val="0"/>
        <w:spacing w:after="0" w:line="240" w:lineRule="auto"/>
        <w:rPr>
          <w:rFonts w:ascii="Arial" w:hAnsi="Arial" w:cs="Arial"/>
          <w:i/>
          <w:iCs/>
          <w:sz w:val="16"/>
          <w:szCs w:val="16"/>
          <w:lang/>
        </w:rPr>
      </w:pP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F56352" w:rsidP="00F56352">
      <w:pPr>
        <w:autoSpaceDE w:val="0"/>
        <w:autoSpaceDN w:val="0"/>
        <w:adjustRightInd w:val="0"/>
        <w:spacing w:after="0" w:line="240" w:lineRule="auto"/>
        <w:ind w:right="-1"/>
        <w:jc w:val="both"/>
        <w:rPr>
          <w:rFonts w:ascii="Arial" w:hAnsi="Arial" w:cs="Arial"/>
          <w:i/>
          <w:sz w:val="16"/>
          <w:szCs w:val="16"/>
          <w:highlight w:val="white"/>
          <w:lang/>
        </w:rPr>
      </w:pPr>
      <w:r w:rsidRPr="00B0496A">
        <w:rPr>
          <w:rFonts w:ascii="Arial" w:hAnsi="Arial" w:cs="Arial"/>
          <w:i/>
          <w:sz w:val="16"/>
          <w:szCs w:val="16"/>
          <w:highlight w:val="white"/>
          <w:lang/>
        </w:rPr>
        <w:t xml:space="preserve">En ningún caso la cantidad a pagar Será mayor </w:t>
      </w:r>
      <w:proofErr w:type="gramStart"/>
      <w:r w:rsidRPr="00B0496A">
        <w:rPr>
          <w:rFonts w:ascii="Arial" w:hAnsi="Arial" w:cs="Arial"/>
          <w:i/>
          <w:sz w:val="16"/>
          <w:szCs w:val="16"/>
          <w:highlight w:val="white"/>
          <w:lang/>
        </w:rPr>
        <w:t>a ....</w:t>
      </w:r>
      <w:proofErr w:type="gramEnd"/>
      <w:r w:rsidRPr="00B0496A">
        <w:rPr>
          <w:rFonts w:ascii="Arial" w:hAnsi="Arial" w:cs="Arial"/>
          <w:i/>
          <w:sz w:val="16"/>
          <w:szCs w:val="16"/>
          <w:highlight w:val="white"/>
          <w:lang/>
        </w:rPr>
        <w:t>1,400 cuotas</w:t>
      </w:r>
    </w:p>
    <w:p w:rsidR="00F56352" w:rsidRPr="00B0496A" w:rsidRDefault="00F56352" w:rsidP="00F56352">
      <w:pPr>
        <w:autoSpaceDE w:val="0"/>
        <w:autoSpaceDN w:val="0"/>
        <w:adjustRightInd w:val="0"/>
        <w:spacing w:after="0" w:line="240" w:lineRule="auto"/>
        <w:ind w:right="51"/>
        <w:jc w:val="both"/>
        <w:rPr>
          <w:rFonts w:ascii="Arial" w:hAnsi="Arial" w:cs="Arial"/>
          <w:i/>
          <w:sz w:val="16"/>
          <w:szCs w:val="16"/>
          <w:lang/>
        </w:rPr>
      </w:pPr>
    </w:p>
    <w:p w:rsidR="00F56352" w:rsidRPr="00B0496A" w:rsidRDefault="00F56352" w:rsidP="00F56352">
      <w:pPr>
        <w:autoSpaceDE w:val="0"/>
        <w:autoSpaceDN w:val="0"/>
        <w:adjustRightInd w:val="0"/>
        <w:spacing w:after="0" w:line="240" w:lineRule="auto"/>
        <w:rPr>
          <w:rFonts w:ascii="Arial" w:hAnsi="Arial" w:cs="Arial"/>
          <w:i/>
          <w:iCs/>
          <w:sz w:val="16"/>
          <w:szCs w:val="16"/>
          <w:lang/>
        </w:rPr>
      </w:pPr>
      <w:r w:rsidRPr="00B0496A">
        <w:rPr>
          <w:rFonts w:ascii="Arial" w:hAnsi="Arial" w:cs="Arial"/>
          <w:i/>
          <w:iCs/>
          <w:sz w:val="16"/>
          <w:szCs w:val="16"/>
          <w:lang/>
        </w:rPr>
        <w:t>(REFORMADO, P.O. 30 DE DICIEMBRE DE 2016)</w:t>
      </w:r>
    </w:p>
    <w:p w:rsidR="00F56352" w:rsidRPr="00B0496A" w:rsidRDefault="00131EA1" w:rsidP="00F56352">
      <w:pPr>
        <w:autoSpaceDE w:val="0"/>
        <w:autoSpaceDN w:val="0"/>
        <w:adjustRightInd w:val="0"/>
        <w:spacing w:after="0" w:line="240" w:lineRule="auto"/>
        <w:ind w:right="51"/>
        <w:jc w:val="both"/>
        <w:rPr>
          <w:rFonts w:ascii="Arial" w:hAnsi="Arial" w:cs="Arial"/>
          <w:i/>
          <w:sz w:val="16"/>
          <w:szCs w:val="16"/>
          <w:lang/>
        </w:rPr>
      </w:pPr>
      <w:r w:rsidRPr="00B0496A">
        <w:rPr>
          <w:rFonts w:ascii="Arial" w:hAnsi="Arial" w:cs="Arial"/>
          <w:i/>
          <w:sz w:val="16"/>
          <w:szCs w:val="16"/>
          <w:lang/>
        </w:rPr>
        <w:t>B) Permisos especiales:</w:t>
      </w:r>
    </w:p>
    <w:p w:rsidR="00F56352" w:rsidRPr="00B0496A" w:rsidRDefault="00F56352" w:rsidP="00F56352">
      <w:pPr>
        <w:autoSpaceDE w:val="0"/>
        <w:autoSpaceDN w:val="0"/>
        <w:adjustRightInd w:val="0"/>
        <w:spacing w:after="0" w:line="240" w:lineRule="auto"/>
        <w:ind w:right="51"/>
        <w:jc w:val="both"/>
        <w:rPr>
          <w:rFonts w:ascii="Arial" w:hAnsi="Arial" w:cs="Arial"/>
          <w:i/>
          <w:sz w:val="16"/>
          <w:szCs w:val="16"/>
          <w:lang/>
        </w:rPr>
      </w:pPr>
      <w:r w:rsidRPr="00B0496A">
        <w:rPr>
          <w:rFonts w:ascii="Arial" w:hAnsi="Arial" w:cs="Arial"/>
          <w:i/>
          <w:sz w:val="16"/>
          <w:szCs w:val="16"/>
          <w:lang/>
        </w:rPr>
        <w:t xml:space="preserve">1.- Para el expendio y consumo de bebidas alcohólicas, 0.2 cuotas por </w:t>
      </w:r>
      <w:r w:rsidRPr="00B0496A">
        <w:rPr>
          <w:rFonts w:ascii="Arial" w:hAnsi="Arial" w:cs="Arial"/>
          <w:i/>
          <w:sz w:val="16"/>
          <w:szCs w:val="16"/>
          <w:lang/>
        </w:rPr>
        <w:tab/>
        <w:t xml:space="preserve">metro cuadrado de superficie de expendio o consumo, más un 10% de </w:t>
      </w:r>
      <w:r w:rsidRPr="00B0496A">
        <w:rPr>
          <w:rFonts w:ascii="Arial" w:hAnsi="Arial" w:cs="Arial"/>
          <w:i/>
          <w:sz w:val="16"/>
          <w:szCs w:val="16"/>
          <w:lang/>
        </w:rPr>
        <w:tab/>
        <w:t xml:space="preserve">los derechos por cada </w:t>
      </w:r>
      <w:r w:rsidR="00131EA1" w:rsidRPr="00B0496A">
        <w:rPr>
          <w:rFonts w:ascii="Arial" w:hAnsi="Arial" w:cs="Arial"/>
          <w:i/>
          <w:sz w:val="16"/>
          <w:szCs w:val="16"/>
          <w:lang/>
        </w:rPr>
        <w:t xml:space="preserve">día de duración del permiso; y </w:t>
      </w:r>
    </w:p>
    <w:p w:rsidR="00F56352" w:rsidRPr="00B0496A" w:rsidRDefault="00F56352" w:rsidP="00F56352">
      <w:pPr>
        <w:autoSpaceDE w:val="0"/>
        <w:autoSpaceDN w:val="0"/>
        <w:adjustRightInd w:val="0"/>
        <w:spacing w:after="0" w:line="240" w:lineRule="auto"/>
        <w:ind w:right="51"/>
        <w:jc w:val="both"/>
        <w:rPr>
          <w:rFonts w:ascii="Arial" w:hAnsi="Arial" w:cs="Arial"/>
          <w:i/>
          <w:sz w:val="16"/>
          <w:szCs w:val="16"/>
          <w:lang/>
        </w:rPr>
      </w:pPr>
      <w:r w:rsidRPr="00B0496A">
        <w:rPr>
          <w:rFonts w:ascii="Arial" w:hAnsi="Arial" w:cs="Arial"/>
          <w:i/>
          <w:sz w:val="16"/>
          <w:szCs w:val="16"/>
          <w:lang/>
        </w:rPr>
        <w:t xml:space="preserve">2.- Para el consumo de bebidas alcohólicas, 0.1 cuotas por metro </w:t>
      </w:r>
      <w:r w:rsidRPr="00B0496A">
        <w:rPr>
          <w:rFonts w:ascii="Arial" w:hAnsi="Arial" w:cs="Arial"/>
          <w:i/>
          <w:sz w:val="16"/>
          <w:szCs w:val="16"/>
          <w:lang/>
        </w:rPr>
        <w:tab/>
        <w:t>cuadrado de superficie de consumo, más un 10% de los derechos por cada día de duración del permiso.</w:t>
      </w:r>
    </w:p>
    <w:p w:rsidR="00F56352" w:rsidRPr="00B0496A" w:rsidRDefault="00F56352" w:rsidP="00F56352">
      <w:pPr>
        <w:autoSpaceDE w:val="0"/>
        <w:autoSpaceDN w:val="0"/>
        <w:adjustRightInd w:val="0"/>
        <w:spacing w:after="0" w:line="240" w:lineRule="auto"/>
        <w:ind w:right="51"/>
        <w:jc w:val="both"/>
        <w:rPr>
          <w:rFonts w:ascii="Arial" w:hAnsi="Arial" w:cs="Arial"/>
          <w:i/>
          <w:sz w:val="16"/>
          <w:szCs w:val="16"/>
          <w:lang/>
        </w:rPr>
      </w:pPr>
    </w:p>
    <w:p w:rsidR="00F56352" w:rsidRPr="00B0496A" w:rsidRDefault="00F56352" w:rsidP="00F56352">
      <w:pPr>
        <w:autoSpaceDE w:val="0"/>
        <w:autoSpaceDN w:val="0"/>
        <w:adjustRightInd w:val="0"/>
        <w:spacing w:after="0" w:line="240" w:lineRule="auto"/>
        <w:ind w:right="51"/>
        <w:jc w:val="both"/>
        <w:rPr>
          <w:rFonts w:ascii="Arial" w:hAnsi="Arial" w:cs="Arial"/>
          <w:i/>
          <w:sz w:val="16"/>
          <w:szCs w:val="16"/>
          <w:lang/>
        </w:rPr>
      </w:pPr>
      <w:r w:rsidRPr="00B0496A">
        <w:rPr>
          <w:rFonts w:ascii="Arial" w:hAnsi="Arial" w:cs="Arial"/>
          <w:i/>
          <w:sz w:val="16"/>
          <w:szCs w:val="16"/>
          <w:lang/>
        </w:rPr>
        <w:t>En los casos señalados en los numerales 1 y 2 del inciso B, en ningún caso la cantidad a paga</w:t>
      </w:r>
      <w:r w:rsidR="00131EA1" w:rsidRPr="00B0496A">
        <w:rPr>
          <w:rFonts w:ascii="Arial" w:hAnsi="Arial" w:cs="Arial"/>
          <w:i/>
          <w:sz w:val="16"/>
          <w:szCs w:val="16"/>
          <w:lang/>
        </w:rPr>
        <w:t>r deberá ser menor a 50 cuotas.</w:t>
      </w:r>
    </w:p>
    <w:p w:rsidR="00F56352" w:rsidRPr="00B0496A" w:rsidRDefault="00F56352" w:rsidP="00F56352">
      <w:pPr>
        <w:autoSpaceDE w:val="0"/>
        <w:autoSpaceDN w:val="0"/>
        <w:adjustRightInd w:val="0"/>
        <w:spacing w:after="0" w:line="240" w:lineRule="auto"/>
        <w:ind w:right="51"/>
        <w:jc w:val="both"/>
        <w:rPr>
          <w:rFonts w:ascii="Arial" w:hAnsi="Arial" w:cs="Arial"/>
          <w:i/>
          <w:sz w:val="16"/>
          <w:szCs w:val="16"/>
          <w:lang/>
        </w:rPr>
      </w:pPr>
      <w:r w:rsidRPr="00B0496A">
        <w:rPr>
          <w:rFonts w:ascii="Arial" w:hAnsi="Arial" w:cs="Arial"/>
          <w:i/>
          <w:sz w:val="16"/>
          <w:szCs w:val="16"/>
          <w:lang/>
        </w:rPr>
        <w:t>Para la aplicación de los derechos previstos en este Artículo, cuando en un establecimiento existan varios giros, se pagarán los derechos correspon</w:t>
      </w:r>
      <w:r w:rsidR="00131EA1" w:rsidRPr="00B0496A">
        <w:rPr>
          <w:rFonts w:ascii="Arial" w:hAnsi="Arial" w:cs="Arial"/>
          <w:i/>
          <w:sz w:val="16"/>
          <w:szCs w:val="16"/>
          <w:lang/>
        </w:rPr>
        <w:t>dientes para cada uno de ellos.</w:t>
      </w:r>
    </w:p>
    <w:p w:rsidR="00F56352" w:rsidRPr="00B0496A" w:rsidRDefault="00F56352" w:rsidP="00F56352">
      <w:pPr>
        <w:autoSpaceDE w:val="0"/>
        <w:autoSpaceDN w:val="0"/>
        <w:adjustRightInd w:val="0"/>
        <w:spacing w:after="0" w:line="240" w:lineRule="auto"/>
        <w:ind w:right="51"/>
        <w:jc w:val="both"/>
        <w:rPr>
          <w:rFonts w:ascii="Arial" w:hAnsi="Arial" w:cs="Arial"/>
          <w:i/>
          <w:sz w:val="16"/>
          <w:szCs w:val="16"/>
          <w:lang/>
        </w:rPr>
      </w:pPr>
      <w:r w:rsidRPr="00B0496A">
        <w:rPr>
          <w:rFonts w:ascii="Arial" w:hAnsi="Arial" w:cs="Arial"/>
          <w:i/>
          <w:sz w:val="16"/>
          <w:szCs w:val="16"/>
          <w:lang/>
        </w:rPr>
        <w:t>Si algún expendio de bebidas alcohólicas no encuadra específicamente en la clasificación contenida en este Artículo, se equiparará a la que por sus caract</w:t>
      </w:r>
      <w:r w:rsidR="00131EA1" w:rsidRPr="00B0496A">
        <w:rPr>
          <w:rFonts w:ascii="Arial" w:hAnsi="Arial" w:cs="Arial"/>
          <w:i/>
          <w:sz w:val="16"/>
          <w:szCs w:val="16"/>
          <w:lang/>
        </w:rPr>
        <w:t>erísticas le sea más semejante.</w:t>
      </w:r>
    </w:p>
    <w:p w:rsidR="00F56352" w:rsidRPr="00B0496A" w:rsidRDefault="00F56352" w:rsidP="00131EA1">
      <w:pPr>
        <w:autoSpaceDE w:val="0"/>
        <w:autoSpaceDN w:val="0"/>
        <w:adjustRightInd w:val="0"/>
        <w:spacing w:after="0" w:line="240" w:lineRule="auto"/>
        <w:ind w:right="51"/>
        <w:jc w:val="both"/>
        <w:rPr>
          <w:rFonts w:ascii="Arial" w:hAnsi="Arial" w:cs="Arial"/>
          <w:i/>
          <w:sz w:val="16"/>
          <w:szCs w:val="16"/>
          <w:lang/>
        </w:rPr>
      </w:pPr>
      <w:r w:rsidRPr="00B0496A">
        <w:rPr>
          <w:rFonts w:ascii="Arial" w:hAnsi="Arial" w:cs="Arial"/>
          <w:i/>
          <w:sz w:val="16"/>
          <w:szCs w:val="16"/>
          <w:lang/>
        </w:rPr>
        <w:t xml:space="preserve">Se entiende por área de exposición al público, la totalidad de piso de venta o consumo a que tiene acceso el público, en </w:t>
      </w:r>
      <w:r w:rsidR="00131EA1" w:rsidRPr="00B0496A">
        <w:rPr>
          <w:rFonts w:ascii="Arial" w:hAnsi="Arial" w:cs="Arial"/>
          <w:i/>
          <w:sz w:val="16"/>
          <w:szCs w:val="16"/>
          <w:lang/>
        </w:rPr>
        <w:t>un determinado establecimiento.</w:t>
      </w:r>
    </w:p>
    <w:p w:rsidR="00F56352" w:rsidRPr="00B0496A" w:rsidRDefault="00F56352" w:rsidP="00F56352">
      <w:pPr>
        <w:autoSpaceDE w:val="0"/>
        <w:autoSpaceDN w:val="0"/>
        <w:adjustRightInd w:val="0"/>
        <w:spacing w:after="0" w:line="240" w:lineRule="auto"/>
        <w:ind w:right="51"/>
        <w:jc w:val="both"/>
        <w:rPr>
          <w:rFonts w:ascii="Arial" w:hAnsi="Arial" w:cs="Arial"/>
          <w:i/>
          <w:sz w:val="16"/>
          <w:szCs w:val="16"/>
          <w:lang/>
        </w:rPr>
      </w:pPr>
      <w:r w:rsidRPr="00B0496A">
        <w:rPr>
          <w:rFonts w:ascii="Arial" w:hAnsi="Arial" w:cs="Arial"/>
          <w:i/>
          <w:sz w:val="16"/>
          <w:szCs w:val="16"/>
          <w:lang/>
        </w:rPr>
        <w:t>Los derechos previstos en este Artículo, serán aplicables únicamente a los establecimientos en los que se consuman o expendan bebidas alcohólicas total o parcialmente al público en general.</w:t>
      </w:r>
    </w:p>
    <w:p w:rsidR="00F56352" w:rsidRPr="00B0496A" w:rsidRDefault="00F56352" w:rsidP="00F56352">
      <w:pPr>
        <w:autoSpaceDE w:val="0"/>
        <w:autoSpaceDN w:val="0"/>
        <w:adjustRightInd w:val="0"/>
        <w:spacing w:after="0" w:line="240" w:lineRule="auto"/>
        <w:jc w:val="both"/>
        <w:rPr>
          <w:rFonts w:ascii="Arial" w:hAnsi="Arial" w:cs="Arial"/>
          <w:i/>
          <w:sz w:val="16"/>
          <w:szCs w:val="16"/>
          <w:lang/>
        </w:rPr>
      </w:pPr>
    </w:p>
    <w:p w:rsidR="00F56352" w:rsidRPr="00B0496A" w:rsidRDefault="00F56352" w:rsidP="00F56352">
      <w:pPr>
        <w:autoSpaceDE w:val="0"/>
        <w:autoSpaceDN w:val="0"/>
        <w:adjustRightInd w:val="0"/>
        <w:spacing w:after="0" w:line="240" w:lineRule="auto"/>
        <w:jc w:val="both"/>
        <w:rPr>
          <w:rFonts w:ascii="Arial" w:hAnsi="Arial" w:cs="Arial"/>
          <w:i/>
          <w:iCs/>
          <w:sz w:val="16"/>
          <w:szCs w:val="16"/>
          <w:lang/>
        </w:rPr>
      </w:pPr>
      <w:r w:rsidRPr="00B0496A">
        <w:rPr>
          <w:rFonts w:ascii="Arial" w:hAnsi="Arial" w:cs="Arial"/>
          <w:i/>
          <w:iCs/>
          <w:sz w:val="16"/>
          <w:szCs w:val="16"/>
          <w:lang/>
        </w:rPr>
        <w:t>(ADICIONADO, P.O. 27 DE DICIEMBRE DE 2013)</w:t>
      </w:r>
    </w:p>
    <w:p w:rsidR="00F56352" w:rsidRPr="00B0496A" w:rsidRDefault="00F56352" w:rsidP="00F56352">
      <w:pPr>
        <w:autoSpaceDE w:val="0"/>
        <w:autoSpaceDN w:val="0"/>
        <w:adjustRightInd w:val="0"/>
        <w:spacing w:after="0" w:line="240" w:lineRule="auto"/>
        <w:jc w:val="both"/>
        <w:rPr>
          <w:rFonts w:ascii="Arial" w:hAnsi="Arial" w:cs="Arial"/>
          <w:i/>
          <w:sz w:val="16"/>
          <w:szCs w:val="16"/>
          <w:lang/>
        </w:rPr>
      </w:pPr>
      <w:r w:rsidRPr="00B0496A">
        <w:rPr>
          <w:rFonts w:ascii="Arial" w:hAnsi="Arial" w:cs="Arial"/>
          <w:i/>
          <w:sz w:val="16"/>
          <w:szCs w:val="16"/>
          <w:lang/>
        </w:rPr>
        <w:t>Los montos de las cuotas señaladas en el inciso A) de este artículo se incrementarán en un 20% en los Municipios cuyos Ayuntamientos hayan acordado la ampliación de horario conforme lo establecido en el segundo párrafo del artículo 21 de la Ley para la Prevención y combate al abuso del alcohol y de Regulación para su Venta y Consumo para el Estado de Nuevo León.</w:t>
      </w:r>
    </w:p>
    <w:p w:rsidR="00915A48" w:rsidRDefault="00915A48" w:rsidP="00F56352">
      <w:pPr>
        <w:spacing w:line="240" w:lineRule="auto"/>
        <w:rPr>
          <w:sz w:val="16"/>
          <w:szCs w:val="16"/>
        </w:rPr>
      </w:pPr>
    </w:p>
    <w:p w:rsidR="00915A48" w:rsidRPr="00915A48" w:rsidRDefault="00915A48" w:rsidP="00915A48">
      <w:pPr>
        <w:spacing w:after="0" w:line="240" w:lineRule="auto"/>
        <w:rPr>
          <w:rFonts w:ascii="Calibri" w:eastAsia="Times New Roman" w:hAnsi="Calibri" w:cs="Calibri"/>
          <w:color w:val="0563C1"/>
          <w:u w:val="single"/>
          <w:lang w:eastAsia="es-MX"/>
        </w:rPr>
      </w:pPr>
    </w:p>
    <w:p w:rsidR="00915A48" w:rsidRDefault="00915A48" w:rsidP="00F56352">
      <w:pPr>
        <w:spacing w:line="240" w:lineRule="auto"/>
        <w:rPr>
          <w:sz w:val="16"/>
          <w:szCs w:val="16"/>
        </w:rPr>
      </w:pPr>
    </w:p>
    <w:sectPr w:rsidR="00915A48" w:rsidSect="0098664B">
      <w:pgSz w:w="12240" w:h="15840"/>
      <w:pgMar w:top="1418" w:right="1134" w:bottom="1418"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6352"/>
    <w:rsid w:val="000D00BF"/>
    <w:rsid w:val="00131EA1"/>
    <w:rsid w:val="002C7F04"/>
    <w:rsid w:val="003B1D97"/>
    <w:rsid w:val="0082739C"/>
    <w:rsid w:val="00915A48"/>
    <w:rsid w:val="0098664B"/>
    <w:rsid w:val="00B0496A"/>
    <w:rsid w:val="00BF482E"/>
    <w:rsid w:val="00CA2506"/>
    <w:rsid w:val="00D11C83"/>
    <w:rsid w:val="00F56352"/>
    <w:rsid w:val="00F82A5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15A48"/>
    <w:rPr>
      <w:color w:val="0563C1"/>
      <w:u w:val="single"/>
    </w:rPr>
  </w:style>
  <w:style w:type="table" w:styleId="Tablaconcuadrcula">
    <w:name w:val="Table Grid"/>
    <w:basedOn w:val="Tablanormal"/>
    <w:uiPriority w:val="39"/>
    <w:rsid w:val="00986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3684208">
      <w:bodyDiv w:val="1"/>
      <w:marLeft w:val="0"/>
      <w:marRight w:val="0"/>
      <w:marTop w:val="0"/>
      <w:marBottom w:val="0"/>
      <w:divBdr>
        <w:top w:val="none" w:sz="0" w:space="0" w:color="auto"/>
        <w:left w:val="none" w:sz="0" w:space="0" w:color="auto"/>
        <w:bottom w:val="none" w:sz="0" w:space="0" w:color="auto"/>
        <w:right w:val="none" w:sz="0" w:space="0" w:color="auto"/>
      </w:divBdr>
    </w:div>
    <w:div w:id="757749766">
      <w:bodyDiv w:val="1"/>
      <w:marLeft w:val="0"/>
      <w:marRight w:val="0"/>
      <w:marTop w:val="0"/>
      <w:marBottom w:val="0"/>
      <w:divBdr>
        <w:top w:val="none" w:sz="0" w:space="0" w:color="auto"/>
        <w:left w:val="none" w:sz="0" w:space="0" w:color="auto"/>
        <w:bottom w:val="none" w:sz="0" w:space="0" w:color="auto"/>
        <w:right w:val="none" w:sz="0" w:space="0" w:color="auto"/>
      </w:divBdr>
    </w:div>
    <w:div w:id="946545373">
      <w:bodyDiv w:val="1"/>
      <w:marLeft w:val="0"/>
      <w:marRight w:val="0"/>
      <w:marTop w:val="0"/>
      <w:marBottom w:val="0"/>
      <w:divBdr>
        <w:top w:val="none" w:sz="0" w:space="0" w:color="auto"/>
        <w:left w:val="none" w:sz="0" w:space="0" w:color="auto"/>
        <w:bottom w:val="none" w:sz="0" w:space="0" w:color="auto"/>
        <w:right w:val="none" w:sz="0" w:space="0" w:color="auto"/>
      </w:divBdr>
    </w:div>
    <w:div w:id="1297644350">
      <w:bodyDiv w:val="1"/>
      <w:marLeft w:val="0"/>
      <w:marRight w:val="0"/>
      <w:marTop w:val="0"/>
      <w:marBottom w:val="0"/>
      <w:divBdr>
        <w:top w:val="none" w:sz="0" w:space="0" w:color="auto"/>
        <w:left w:val="none" w:sz="0" w:space="0" w:color="auto"/>
        <w:bottom w:val="none" w:sz="0" w:space="0" w:color="auto"/>
        <w:right w:val="none" w:sz="0" w:space="0" w:color="auto"/>
      </w:divBdr>
    </w:div>
    <w:div w:id="1551527935">
      <w:bodyDiv w:val="1"/>
      <w:marLeft w:val="0"/>
      <w:marRight w:val="0"/>
      <w:marTop w:val="0"/>
      <w:marBottom w:val="0"/>
      <w:divBdr>
        <w:top w:val="none" w:sz="0" w:space="0" w:color="auto"/>
        <w:left w:val="none" w:sz="0" w:space="0" w:color="auto"/>
        <w:bottom w:val="none" w:sz="0" w:space="0" w:color="auto"/>
        <w:right w:val="none" w:sz="0" w:space="0" w:color="auto"/>
      </w:divBdr>
    </w:div>
    <w:div w:id="1671715440">
      <w:bodyDiv w:val="1"/>
      <w:marLeft w:val="0"/>
      <w:marRight w:val="0"/>
      <w:marTop w:val="0"/>
      <w:marBottom w:val="0"/>
      <w:divBdr>
        <w:top w:val="none" w:sz="0" w:space="0" w:color="auto"/>
        <w:left w:val="none" w:sz="0" w:space="0" w:color="auto"/>
        <w:bottom w:val="none" w:sz="0" w:space="0" w:color="auto"/>
        <w:right w:val="none" w:sz="0" w:space="0" w:color="auto"/>
      </w:divBdr>
    </w:div>
    <w:div w:id="1956712718">
      <w:bodyDiv w:val="1"/>
      <w:marLeft w:val="0"/>
      <w:marRight w:val="0"/>
      <w:marTop w:val="0"/>
      <w:marBottom w:val="0"/>
      <w:divBdr>
        <w:top w:val="none" w:sz="0" w:space="0" w:color="auto"/>
        <w:left w:val="none" w:sz="0" w:space="0" w:color="auto"/>
        <w:bottom w:val="none" w:sz="0" w:space="0" w:color="auto"/>
        <w:right w:val="none" w:sz="0" w:space="0" w:color="auto"/>
      </w:divBdr>
    </w:div>
    <w:div w:id="206124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uarez-nl.gob.mx/articulo-10/articulo-10-i-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uarez-nl.gob.mx/articulo-10/articulo-10-i-3" TargetMode="External"/><Relationship Id="rId5" Type="http://schemas.openxmlformats.org/officeDocument/2006/relationships/hyperlink" Target="http://juarez-nl.gob.mx/articulo-10/articulo-10-i-3" TargetMode="External"/><Relationship Id="rId4" Type="http://schemas.openxmlformats.org/officeDocument/2006/relationships/hyperlink" Target="http://juarez-nl.gob.mx/articulo-10/articulo-10-i-3"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1435</Words>
  <Characters>7898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 mtz</dc:creator>
  <cp:lastModifiedBy>luis michel</cp:lastModifiedBy>
  <cp:revision>2</cp:revision>
  <dcterms:created xsi:type="dcterms:W3CDTF">2018-06-27T14:58:00Z</dcterms:created>
  <dcterms:modified xsi:type="dcterms:W3CDTF">2018-06-27T14:58:00Z</dcterms:modified>
</cp:coreProperties>
</file>